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4E79"/>
          <w:sz w:val="40"/>
        </w:rPr>
        <w:t>Glassmere board brief — alternate component decision</w:t>
      </w:r>
    </w:p>
    <w:p>
      <w:pPr>
        <w:spacing w:after="100"/>
      </w:pPr>
      <w:r>
        <w:rPr>
          <w:b/>
          <w:color w:val="646464"/>
          <w:sz w:val="18"/>
        </w:rPr>
        <w:t>GLASSMERE TERMINALS  |  BOARD BRIEF</w:t>
      </w:r>
    </w:p>
    <w:p>
      <w:r>
        <w:t>For: Josefa Ferreira and Elias Sepulveda | Prepared by: Saltmarsh Energy</w:t>
      </w:r>
    </w:p>
    <w:p>
      <w:pPr>
        <w:pStyle w:val="Heading1"/>
      </w:pPr>
      <w:r>
        <w:t>Decision Summary</w:t>
      </w:r>
    </w:p>
    <w:p>
      <w:r>
        <w:t>[Replace with current decision position and headline.]</w:t>
      </w:r>
    </w:p>
    <w:p>
      <w:pPr>
        <w:pStyle w:val="Heading1"/>
      </w:pPr>
      <w:r>
        <w:t>Service-History Comparison</w:t>
      </w:r>
    </w:p>
    <w:p>
      <w:r>
        <w:t>[Compare alternate and incumbent field record.]</w:t>
      </w:r>
    </w:p>
    <w:p>
      <w:pPr>
        <w:pStyle w:val="Heading1"/>
      </w:pPr>
      <w:r>
        <w:t>Technical Evidence</w:t>
      </w:r>
    </w:p>
    <w:p>
      <w:r>
        <w:t>[Summarise measured evidence and boundary.]</w:t>
      </w:r>
    </w:p>
    <w:p>
      <w:pPr>
        <w:pStyle w:val="Heading1"/>
      </w:pPr>
      <w:r>
        <w:t>Residual Concerns</w:t>
      </w:r>
    </w:p>
    <w:p>
      <w:r>
        <w:t>[List unresolved findings and limitations.]</w:t>
      </w:r>
    </w:p>
    <w:p>
      <w:pPr>
        <w:pStyle w:val="Heading1"/>
      </w:pPr>
      <w:r>
        <w:t>Staged Trial</w:t>
      </w:r>
    </w:p>
    <w:p>
      <w:r>
        <w:t>[Set out stages, gates, owners, timing.]</w:t>
      </w:r>
    </w:p>
    <w:p>
      <w:pPr>
        <w:pStyle w:val="Heading1"/>
      </w:pPr>
      <w:r>
        <w:t>Commercial Position</w:t>
      </w:r>
    </w:p>
    <w:p>
      <w:r>
        <w:t>[State rate and inclusions.]</w:t>
      </w:r>
    </w:p>
    <w:p>
      <w:pPr>
        <w:pStyle w:val="Heading1"/>
      </w:pPr>
      <w:r>
        <w:t>Decision Requested</w:t>
      </w:r>
    </w:p>
    <w:p>
      <w:r>
        <w:t>[State bounded approval ask.]</w:t>
      </w:r>
    </w:p>
    <w:p>
      <w:pPr>
        <w:pStyle w:val="Heading1"/>
      </w:pPr>
      <w:r>
        <w:t>Next Actions</w:t>
      </w:r>
    </w:p>
    <w:p>
      <w:r>
        <w:t>[Assign owners and timing.]</w:t>
      </w:r>
    </w:p>
    <w:p>
      <w:pPr>
        <w:pStyle w:val="Heading1"/>
      </w:pPr>
      <w:r>
        <w:t>Assumptions &amp; Limitations</w:t>
      </w:r>
    </w:p>
    <w:p>
      <w:r>
        <w:t>[State date and evidence assumptions.]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