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Market &amp; Positioning Narrative</w:t>
      </w:r>
    </w:p>
    <w:p>
      <w:pPr>
        <w:pStyle w:val="Subtitle"/>
        <w:spacing w:after="260"/>
      </w:pPr>
      <w:r>
        <w:t>Wexmoor Media former soundstage and post-production facility</w:t>
      </w:r>
    </w:p>
    <w:p>
      <w:pPr>
        <w:spacing w:after="160" w:line="259" w:lineRule="auto"/>
      </w:pPr>
      <w:r>
        <w:t>Wexmoor Media offers a former soundstage and post-production facility at 7300 North Corbin Avenue in Flintridge, California. The property comprises approximately 84,120 square feet on 4.31 acres in the Flintridge industrial district. Vehicular ingress is from North Corbin Avenue, with a service connection reaching West Dorsey Road. This location and access pattern support a campus-style operating profile while leaving the purchaser to evaluate circulation, operations, and any future changes through its own diligence.</w:t>
      </w:r>
    </w:p>
    <w:p>
      <w:pPr>
        <w:spacing w:after="160" w:line="259" w:lineRule="auto"/>
      </w:pPr>
      <w:r>
        <w:t>The production core consists of two sound stages and one production support volume. Stage A contains approximately 18,500 square feet with a 32-foot clear height, acoustically treated wall assemblies, and one grade-level loading door. Stage B contains approximately 14,300 square feet with a 28-foot clear height and acoustically treated wall assemblies. The 7,200-square-foot production support volume includes a scene shop, makeup and wardrobe area, and one dock-high loading door. These are existing physical attributes; the supplied record does not provide an acoustic certification, operating-performance guarantee, or representation that the spaces meet a future user’s particular requirements.</w:t>
      </w:r>
    </w:p>
    <w:p>
      <w:pPr>
        <w:spacing w:after="160" w:line="259" w:lineRule="auto"/>
      </w:pPr>
      <w:r>
        <w:t>The former facility configuration also includes editorial rooms, color and sound suites, equipment rooms, production offices, and conference rooms. A 2,000-amp, 480/277-volt electrical service is identified at the main switchgear. The site has 182 existing striped parking spaces, two gated driveways, and truck circulation along the west elevation. The parking count and electrical description are factual observations only: the supplied record does not conclude that parking is code-compliant or sufficient, or that the electrical service is suitable for a proposed operation. Existing loading and circulation should likewise be assessed against a purchaser’s intended use.</w:t>
      </w:r>
    </w:p>
    <w:p>
      <w:pPr>
        <w:spacing w:after="160" w:line="259" w:lineRule="auto"/>
      </w:pPr>
      <w:r>
        <w:t>The parcel is designated MPS-2 — Media Production and Services District. The Flintridge Authority excerpt supplied for this assignment identifies motion-picture, television, and streaming-production stages; post-production, sound editing, and media-production offices; rehearsal and pre-production spaces ancillary to media production; and equipment storage and servicing ancillary to a permitted media-production use as permitted in MPS-2. The excerpt is planning context, not a zoning verification, entitlement, or project approval. Flintridge Authority has not reviewed or approved a conversion, change of use, occupancy classification, parking determination, or building-code compliance for this property.</w:t>
      </w:r>
    </w:p>
    <w:p>
      <w:pPr>
        <w:spacing w:after="160" w:line="259" w:lineRule="auto"/>
      </w:pPr>
      <w:r>
        <w:t>The same excerpt states that general office not ancillary to media production and vocational or production-training facilities may be considered only with a Conditional Use Permit and any other applicable approvals. Those approval-dependent uses are therefore considerations for a prospective purchaser, not current entitlements. Any adaptive-use analysis would also need to address the existing configuration, building systems, access, parking, and the approvals applicable to the proposed program. No conversion cost, construction scope, delivery timing, future rent, future value, or investment return is represented.</w:t>
      </w:r>
    </w:p>
    <w:p>
      <w:pPr>
        <w:pStyle w:val="Heading2"/>
        <w:keepNext/>
      </w:pPr>
      <w:r>
        <w:t>Current Occupancy and Rollover</w:t>
      </w:r>
    </w:p>
    <w:p>
      <w:pPr>
        <w:spacing w:after="160" w:line="259" w:lineRule="auto"/>
      </w:pPr>
      <w:r>
        <w:t>Wexmoor Media is the current leaseback tenant for Stage A, the principal sound stage area. The offering is structured as a sale with that leaseback, so the property is not presently vacant and Stage A is not represented as immediately available. Based on the transaction assumptions in the supplied record, an assumed closing on 15 October 2026 would precede the contractual lease expiration on 15 June 2027 by approximately eight months. The closing date is an assumption, not a completed or guaranteed event. The lease record states that there are no renewal options and that Wexmoor Media has provided no written renewal, extension, expansion, departure, or other operational commitment. The known expiration date does not establish the condition, possession, or availability of Stage A after expiration; those matters remain subject to the lease, any subsequent agreement, and the facts then existing.</w:t>
      </w:r>
    </w:p>
    <w:p>
      <w:pPr>
        <w:spacing w:after="160" w:line="259" w:lineRule="auto"/>
      </w:pPr>
      <w:r>
        <w:t>Within those limits, the physical record supports a credible continued-media-use positioning. The two sound stages, acoustically treated assemblies, production support volume, post-production rooms, editing and sound suites, loading points, truck circulation, and electrical service are all existing components associated with the former production program. MPS-2 also expressly identifies production, post-production, ancillary media offices, rehearsal and pre-production, and ancillary equipment support as permitted categories. The combination describes what the property is and the planning context supplied for it; it does not predict tenant demand, absorption, rent, value, or the length of time required to re-occupy any space.</w:t>
      </w:r>
    </w:p>
    <w:p>
      <w:pPr>
        <w:spacing w:after="160" w:line="259" w:lineRule="auto"/>
      </w:pPr>
      <w:r>
        <w:t>The same base may be relevant to a purchaser considering a media-oriented operation or an approval-dependent program that uses portions of the existing office and support areas. General office not ancillary to media production and production-training uses require a Conditional Use Permit and other applicable approvals under the supplied Authority excerpt. Prospective purchasers should confirm the proposed use, physical changes, parking and loading implications, and all applicable approvals with the Authority and their advisers. The narrative does not state that any adaptive conversion has been approved or that the existing improvements are ready for a new use.</w:t>
      </w:r>
    </w:p>
    <w:p>
      <w:pPr>
        <w:spacing w:after="160" w:line="259" w:lineRule="auto"/>
      </w:pPr>
      <w:r>
        <w:t>Historical activity at other properties provides context for the range of media-related real estate transactions without establishing an outcome for Wexmoor Media. County recorder transfer-index information identifies Meridian Works, 4200 Meridian Avenue, Easton, as a sale that closed on 8 April 2025; the record reports a 71,600-square-foot property and a $20,900,000 transfer price. Broker-confirmed executed-lease information identifies Vista Harbor Studios, 908 Harbor View Boulevard, Larkspur, as a lease executed on 12 November 2025 involving a 62,400-square-foot facility and 33,000 square feet leased. These records are historical reference points with different locations, transaction types, physical programs, and timing. They are not appraisals, forecasts, or promises of price, rent, demand, buyer response, or timing for the subject property.</w:t>
      </w:r>
    </w:p>
    <w:p>
      <w:pPr>
        <w:spacing w:after="160" w:line="259" w:lineRule="auto"/>
      </w:pPr>
      <w:r>
        <w:t>The property is therefore presented as an existing, media-oriented campus with a defined leaseback and a known contractual rollover date under the stated closing assumption. Its stage, post-production, support, access, loading, and electrical attributes may inform a purchaser’s evaluation of continued media use; its MPS-2 context identifies permitted media categories and places any non-ancillary office or training concept behind a Conditional Use Permit and other applicable approvals. The offering should be read with the lease and the purchaser’s independent diligence, including confirmation of measurements, systems, parking, circulation, planning, and the condition and availability of space after the lease expires.</w:t>
      </w:r>
    </w:p>
    <w:p>
      <w:pPr>
        <w:sectPr>
          <w:headerReference w:type="default" r:id="rId9"/>
          <w:footerReference w:type="default" r:id="rId10"/>
          <w:pgSz w:w="12240" w:h="15840"/>
          <w:pgMar w:top="1037" w:right="1224" w:bottom="1008" w:left="1224" w:header="720" w:footer="720" w:gutter="0"/>
          <w:cols w:space="720"/>
          <w:docGrid w:linePitch="360"/>
        </w:sectPr>
      </w:pPr>
    </w:p>
    <w:p>
      <w:pPr>
        <w:pStyle w:val="Title"/>
        <w:spacing w:after="240"/>
      </w:pPr>
      <w:r>
        <w:t>Internal Clearance Note — Not for Publication</w:t>
      </w:r>
    </w:p>
    <w:p>
      <w:pPr>
        <w:spacing w:after="160" w:line="259" w:lineRule="auto"/>
      </w:pPr>
      <w:r>
        <w:t>I chose the distinct occupancy-and-rollover passage within the publishable narrative. The narrative uses the approved as-of date of 18 September 2026 and treats 15 October 2026 as an assumed closing date, with the 15 June 2027 lease expiration stated as the contractual date. It reflects the current reconciled review record, including the controlling fact and comparable rows, and applies the supplied advertising and disclosure controls. This is a bounded clearance confirmation for Yusuf Escamilla’s review, not a broader legal opinion or a guarantee of market, authority, tenant, or transaction outcomes.</w:t>
      </w:r>
    </w:p>
    <w:sectPr w:rsidR="00FC693F" w:rsidRPr="0006063C" w:rsidSect="00034616">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884"/>
        <w:sz w:val="16"/>
      </w:rPr>
      <w:t>Confidential | Market &amp; Positioning Narrative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B7884"/>
      </w:rPr>
      <w:t>WEXMOOR MEDIA  /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8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