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Saltcombe Fiduciary Evidence Bundle</w:t>
      </w:r>
    </w:p>
    <w:p>
      <w:r>
        <w:t>Prepared for the Saltcombe Alliance trustee review. This bundle is the complete factual record for the requested analysis. Currency is USD unless noted.</w:t>
      </w:r>
    </w:p>
    <w:p>
      <w:pPr>
        <w:pStyle w:val="Heading1"/>
      </w:pPr>
      <w:r>
        <w:t>Exhibit A — Supplied DOL text</w:t>
      </w:r>
    </w:p>
    <w:p>
      <w:r>
        <w:t>For this review, the supplied text states: “Assets of an employee benefit plan include assets held by the plan. When a plan acquires an equity interest in an entity, the entity’s underlying assets are treated as plan assets if 25% or more of the outstanding equity interests of a class are held by benefit plan investors, calculated immediately after the acquisition. Interests held by the entity’s investment manager and its affiliates are excluded from the numerator. The 25% test is applied by class. An exception applies to a class of publicly offered securities; a privately offered direct-lending vehicle does not qualify for that exception on the facts supplied. This excerpt is the governing text for this bounded exercise and is not external legal advice.”</w:t>
      </w:r>
    </w:p>
    <w:p>
      <w:pPr>
        <w:pStyle w:val="Heading1"/>
      </w:pPr>
      <w:r>
        <w:t>Exhibit B — Saltcombe Alliance plan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Supplied fact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Saltcombe Alliance Retirement Benefit Plan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Employee benefit plan; trustees are considering a fiduciary vote</w:t>
            </w:r>
          </w:p>
        </w:tc>
      </w:tr>
      <w:tr>
        <w:tc>
          <w:tcPr>
            <w:tcW w:type="dxa" w:w="4320"/>
          </w:tcPr>
          <w:p>
            <w:r>
              <w:t>Asset owner</w:t>
            </w:r>
          </w:p>
        </w:tc>
        <w:tc>
          <w:tcPr>
            <w:tcW w:type="dxa" w:w="4320"/>
          </w:tcPr>
          <w:p>
            <w:r>
              <w:t>The plan, through its trustees, would own the proposed fund interest</w:t>
            </w:r>
          </w:p>
        </w:tc>
      </w:tr>
      <w:tr>
        <w:tc>
          <w:tcPr>
            <w:tcW w:type="dxa" w:w="4320"/>
          </w:tcPr>
          <w:p>
            <w:r>
              <w:t>Decision context</w:t>
            </w:r>
          </w:p>
        </w:tc>
        <w:tc>
          <w:tcPr>
            <w:tcW w:type="dxa" w:w="4320"/>
          </w:tcPr>
          <w:p>
            <w:r>
              <w:t>Proposed commitment to Northmere Direct Lending Fund, Class I</w:t>
            </w:r>
          </w:p>
        </w:tc>
      </w:tr>
      <w:tr>
        <w:tc>
          <w:tcPr>
            <w:tcW w:type="dxa" w:w="4320"/>
          </w:tcPr>
          <w:p>
            <w:r>
              <w:t>Proposed commitment</w:t>
            </w:r>
          </w:p>
        </w:tc>
        <w:tc>
          <w:tcPr>
            <w:tcW w:type="dxa" w:w="4320"/>
          </w:tcPr>
          <w:p>
            <w:r>
              <w:t>$7,650,000</w:t>
            </w:r>
          </w:p>
        </w:tc>
      </w:tr>
      <w:tr>
        <w:tc>
          <w:tcPr>
            <w:tcW w:type="dxa" w:w="4320"/>
          </w:tcPr>
          <w:p>
            <w:r>
              <w:t>Decision date</w:t>
            </w:r>
          </w:p>
        </w:tc>
        <w:tc>
          <w:tcPr>
            <w:tcW w:type="dxa" w:w="4320"/>
          </w:tcPr>
          <w:p>
            <w:r>
              <w:t>2026-08-24</w:t>
            </w:r>
          </w:p>
        </w:tc>
      </w:tr>
      <w:tr>
        <w:tc>
          <w:tcPr>
            <w:tcW w:type="dxa" w:w="4320"/>
          </w:tcPr>
          <w:p>
            <w:r>
              <w:t>Relevant money</w:t>
            </w:r>
          </w:p>
        </w:tc>
        <w:tc>
          <w:tcPr>
            <w:tcW w:type="dxa" w:w="4320"/>
          </w:tcPr>
          <w:p>
            <w:r>
              <w:t>Employee-benefit assets held for Saltcombe participants</w:t>
            </w:r>
          </w:p>
        </w:tc>
      </w:tr>
    </w:tbl>
    <w:p>
      <w:pPr>
        <w:pStyle w:val="Heading1"/>
      </w:pPr>
      <w:r>
        <w:t>Exhibit C — Northmere fund class and subscription schedule</w:t>
      </w:r>
    </w:p>
    <w:p>
      <w:r>
        <w:t>Northmere Direct Lending Fund is a privately offered direct-lending vehicle. Class I current commitments total $31,000,000. “Legacy ownership % (retired)” is a retired helper field retained in the export; it is stale and must not be used to calculate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rPr>
                <w:b/>
              </w:rPr>
              <w:t>Investor ID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Investor name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Current commitment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Benefit-plan investor?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Legacy ownership % (retired)</w:t>
            </w:r>
          </w:p>
        </w:tc>
      </w:tr>
      <w:tr>
        <w:tc>
          <w:tcPr>
            <w:tcW w:type="dxa" w:w="1440"/>
          </w:tcPr>
          <w:p>
            <w:r>
              <w:t>NDL-I-001</w:t>
            </w:r>
          </w:p>
        </w:tc>
        <w:tc>
          <w:tcPr>
            <w:tcW w:type="dxa" w:w="1440"/>
          </w:tcPr>
          <w:p>
            <w:r>
              <w:t>Alpine Capital Partners</w:t>
            </w:r>
          </w:p>
        </w:tc>
        <w:tc>
          <w:tcPr>
            <w:tcW w:type="dxa" w:w="1440"/>
          </w:tcPr>
          <w:p>
            <w:r>
              <w:t>Class I</w:t>
            </w:r>
          </w:p>
        </w:tc>
        <w:tc>
          <w:tcPr>
            <w:tcW w:type="dxa" w:w="1440"/>
          </w:tcPr>
          <w:p>
            <w:r>
              <w:t>4200000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4.20%</w:t>
            </w:r>
          </w:p>
        </w:tc>
      </w:tr>
      <w:tr>
        <w:tc>
          <w:tcPr>
            <w:tcW w:type="dxa" w:w="1440"/>
          </w:tcPr>
          <w:p>
            <w:r>
              <w:t xml:space="preserve">ndl-i-002 </w:t>
            </w:r>
          </w:p>
        </w:tc>
        <w:tc>
          <w:tcPr>
            <w:tcW w:type="dxa" w:w="1440"/>
          </w:tcPr>
          <w:p>
            <w:r>
              <w:t>Bright Harbor Insurance</w:t>
            </w:r>
          </w:p>
        </w:tc>
        <w:tc>
          <w:tcPr>
            <w:tcW w:type="dxa" w:w="1440"/>
          </w:tcPr>
          <w:p>
            <w:r>
              <w:t>Class I</w:t>
            </w:r>
          </w:p>
        </w:tc>
        <w:tc>
          <w:tcPr>
            <w:tcW w:type="dxa" w:w="1440"/>
          </w:tcPr>
          <w:p>
            <w:r>
              <w:t>5100000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5.10%</w:t>
            </w:r>
          </w:p>
        </w:tc>
      </w:tr>
      <w:tr>
        <w:tc>
          <w:tcPr>
            <w:tcW w:type="dxa" w:w="1440"/>
          </w:tcPr>
          <w:p>
            <w:r>
              <w:t>NDL-I-003</w:t>
            </w:r>
          </w:p>
        </w:tc>
        <w:tc>
          <w:tcPr>
            <w:tcW w:type="dxa" w:w="1440"/>
          </w:tcPr>
          <w:p>
            <w:r>
              <w:t>Cedar Pension Trust</w:t>
            </w:r>
          </w:p>
        </w:tc>
        <w:tc>
          <w:tcPr>
            <w:tcW w:type="dxa" w:w="1440"/>
          </w:tcPr>
          <w:p>
            <w:r>
              <w:t>Class I</w:t>
            </w:r>
          </w:p>
        </w:tc>
        <w:tc>
          <w:tcPr>
            <w:tcW w:type="dxa" w:w="1440"/>
          </w:tcPr>
          <w:p>
            <w:r>
              <w:t>3300000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3.30%</w:t>
            </w:r>
          </w:p>
        </w:tc>
      </w:tr>
      <w:tr>
        <w:tc>
          <w:tcPr>
            <w:tcW w:type="dxa" w:w="1440"/>
          </w:tcPr>
          <w:p>
            <w:r>
              <w:t>NDL-I-004</w:t>
            </w:r>
          </w:p>
        </w:tc>
        <w:tc>
          <w:tcPr>
            <w:tcW w:type="dxa" w:w="1440"/>
          </w:tcPr>
          <w:p>
            <w:r>
              <w:t>Moorland University Endowment</w:t>
            </w:r>
          </w:p>
        </w:tc>
        <w:tc>
          <w:tcPr>
            <w:tcW w:type="dxa" w:w="1440"/>
          </w:tcPr>
          <w:p>
            <w:r>
              <w:t>Class I</w:t>
            </w:r>
          </w:p>
        </w:tc>
        <w:tc>
          <w:tcPr>
            <w:tcW w:type="dxa" w:w="1440"/>
          </w:tcPr>
          <w:p>
            <w:r>
              <w:t>4650000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4.65%</w:t>
            </w:r>
          </w:p>
        </w:tc>
      </w:tr>
      <w:tr>
        <w:tc>
          <w:tcPr>
            <w:tcW w:type="dxa" w:w="1440"/>
          </w:tcPr>
          <w:p>
            <w:r>
              <w:t>ndl-i-005</w:t>
            </w:r>
          </w:p>
        </w:tc>
        <w:tc>
          <w:tcPr>
            <w:tcW w:type="dxa" w:w="1440"/>
          </w:tcPr>
          <w:p>
            <w:r>
              <w:t>Northfield Endowment</w:t>
            </w:r>
          </w:p>
        </w:tc>
        <w:tc>
          <w:tcPr>
            <w:tcW w:type="dxa" w:w="1440"/>
          </w:tcPr>
          <w:p>
            <w:r>
              <w:t>Class I</w:t>
            </w:r>
          </w:p>
        </w:tc>
        <w:tc>
          <w:tcPr>
            <w:tcW w:type="dxa" w:w="1440"/>
          </w:tcPr>
          <w:p>
            <w:r>
              <w:t>2900000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2.90%</w:t>
            </w:r>
          </w:p>
        </w:tc>
      </w:tr>
      <w:tr>
        <w:tc>
          <w:tcPr>
            <w:tcW w:type="dxa" w:w="1440"/>
          </w:tcPr>
          <w:p>
            <w:r>
              <w:t xml:space="preserve">NDL-I-006 </w:t>
            </w:r>
          </w:p>
        </w:tc>
        <w:tc>
          <w:tcPr>
            <w:tcW w:type="dxa" w:w="1440"/>
          </w:tcPr>
          <w:p>
            <w:r>
              <w:t>Oakline Benefits Cooperative</w:t>
            </w:r>
          </w:p>
        </w:tc>
        <w:tc>
          <w:tcPr>
            <w:tcW w:type="dxa" w:w="1440"/>
          </w:tcPr>
          <w:p>
            <w:r>
              <w:t>Class I</w:t>
            </w:r>
          </w:p>
        </w:tc>
        <w:tc>
          <w:tcPr>
            <w:tcW w:type="dxa" w:w="1440"/>
          </w:tcPr>
          <w:p>
            <w:r>
              <w:t>4800000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4.80%</w:t>
            </w:r>
          </w:p>
        </w:tc>
      </w:tr>
      <w:tr>
        <w:tc>
          <w:tcPr>
            <w:tcW w:type="dxa" w:w="1440"/>
          </w:tcPr>
          <w:p>
            <w:r>
              <w:t>NDL-I-007</w:t>
            </w:r>
          </w:p>
        </w:tc>
        <w:tc>
          <w:tcPr>
            <w:tcW w:type="dxa" w:w="1440"/>
          </w:tcPr>
          <w:p>
            <w:r>
              <w:t>Peregrine Family Office</w:t>
            </w:r>
          </w:p>
        </w:tc>
        <w:tc>
          <w:tcPr>
            <w:tcW w:type="dxa" w:w="1440"/>
          </w:tcPr>
          <w:p>
            <w:r>
              <w:t>Class I</w:t>
            </w:r>
          </w:p>
        </w:tc>
        <w:tc>
          <w:tcPr>
            <w:tcW w:type="dxa" w:w="1440"/>
          </w:tcPr>
          <w:p>
            <w:r>
              <w:t>2150000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2.15%</w:t>
            </w:r>
          </w:p>
        </w:tc>
      </w:tr>
      <w:tr>
        <w:tc>
          <w:tcPr>
            <w:tcW w:type="dxa" w:w="1440"/>
          </w:tcPr>
          <w:p>
            <w:r>
              <w:t>NDL-I-008</w:t>
            </w:r>
          </w:p>
        </w:tc>
        <w:tc>
          <w:tcPr>
            <w:tcW w:type="dxa" w:w="1440"/>
          </w:tcPr>
          <w:p>
            <w:r>
              <w:t>Ridgeway Insurance Group</w:t>
            </w:r>
          </w:p>
        </w:tc>
        <w:tc>
          <w:tcPr>
            <w:tcW w:type="dxa" w:w="1440"/>
          </w:tcPr>
          <w:p>
            <w:r>
              <w:t>Class I</w:t>
            </w:r>
          </w:p>
        </w:tc>
        <w:tc>
          <w:tcPr>
            <w:tcW w:type="dxa" w:w="1440"/>
          </w:tcPr>
          <w:p>
            <w:r>
              <w:t>3900000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3.90%</w:t>
            </w:r>
          </w:p>
        </w:tc>
      </w:tr>
      <w:tr>
        <w:tc>
          <w:tcPr>
            <w:tcW w:type="dxa" w:w="1440"/>
          </w:tcPr>
          <w:p>
            <w:r>
              <w:t>NDL-I-009</w:t>
            </w:r>
          </w:p>
        </w:tc>
        <w:tc>
          <w:tcPr>
            <w:tcW w:type="dxa" w:w="1440"/>
          </w:tcPr>
          <w:p>
            <w:r>
              <w:t>Southmere Charitable Trust</w:t>
            </w:r>
          </w:p>
        </w:tc>
        <w:tc>
          <w:tcPr>
            <w:tcW w:type="dxa" w:w="1440"/>
          </w:tcPr>
          <w:p>
            <w:r>
              <w:t>Class I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0.00%</w:t>
            </w:r>
          </w:p>
        </w:tc>
      </w:tr>
    </w:tbl>
    <w:p>
      <w:r>
        <w:t>Subscription materials: Saltcombe Alliance proposes a $7,650,000 subscription into Class I. For the supplied immediately-after-acquisition test, the Class I current commitment schedule is $31,000,000 before the proposed subscription. The active schedule identifies Cedar Pension Trust as a benefit-plan investor with a $3,300,000 current commitment.</w:t>
      </w:r>
    </w:p>
    <w:p>
      <w:r>
        <w:t>Account-reference extract used with the schedule: “cedar plan” = Cedar Pension Trust / benefit-plan investor; “SALTCOMBE PLAN ” = Saltcombe Alliance Retirement Benefit Plan / benefit-plan investor. The schedule subscription ticket uses “Cedar Plan ” and “saltcombe plan” respectively. These exports use the same account references with inconsistent case and trailing spaces.</w:t>
      </w:r>
    </w:p>
    <w:p>
      <w:pPr>
        <w:pStyle w:val="Heading1"/>
      </w:pPr>
      <w:r>
        <w:t>Exhibit D — Redemption history</w:t>
      </w:r>
    </w:p>
    <w:p>
      <w:r>
        <w:t>Historical records supplied by Northmere. “Requested” is the request date; “Completed” is the completion date where present. Statuses are not interchangeable.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rPr>
                <w:b/>
              </w:rPr>
              <w:t>Request date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Completion date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Request ID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Request status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Outcome status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1440"/>
          </w:tcPr>
          <w:p>
            <w:r>
              <w:t>2024-03-15</w:t>
            </w:r>
          </w:p>
        </w:tc>
        <w:tc>
          <w:tcPr>
            <w:tcW w:type="dxa" w:w="1440"/>
          </w:tcPr>
          <w:p>
            <w:r>
              <w:t>2024-04-10</w:t>
            </w:r>
          </w:p>
        </w:tc>
        <w:tc>
          <w:tcPr>
            <w:tcW w:type="dxa" w:w="1440"/>
          </w:tcPr>
          <w:p>
            <w:r>
              <w:t>R-240315-01</w:t>
            </w:r>
          </w:p>
        </w:tc>
        <w:tc>
          <w:tcPr>
            <w:tcW w:type="dxa" w:w="1440"/>
          </w:tcPr>
          <w:p>
            <w:r>
              <w:t>Requested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1200000</w:t>
            </w:r>
          </w:p>
        </w:tc>
      </w:tr>
      <w:tr>
        <w:tc>
          <w:tcPr>
            <w:tcW w:type="dxa" w:w="1440"/>
          </w:tcPr>
          <w:p>
            <w:r>
              <w:t>2024-06-20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R-240620-02</w:t>
            </w:r>
          </w:p>
        </w:tc>
        <w:tc>
          <w:tcPr>
            <w:tcW w:type="dxa" w:w="1440"/>
          </w:tcPr>
          <w:p>
            <w:r>
              <w:t>Requested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800000</w:t>
            </w:r>
          </w:p>
        </w:tc>
      </w:tr>
      <w:tr>
        <w:tc>
          <w:tcPr>
            <w:tcW w:type="dxa" w:w="1440"/>
          </w:tcPr>
          <w:p>
            <w:r>
              <w:t>2024-09-01</w:t>
            </w:r>
          </w:p>
        </w:tc>
        <w:tc>
          <w:tcPr>
            <w:tcW w:type="dxa" w:w="1440"/>
          </w:tcPr>
          <w:p>
            <w:r>
              <w:t>2024-09-01</w:t>
            </w:r>
          </w:p>
        </w:tc>
        <w:tc>
          <w:tcPr>
            <w:tcW w:type="dxa" w:w="1440"/>
          </w:tcPr>
          <w:p>
            <w:r>
              <w:t>R-240901-03</w:t>
            </w:r>
          </w:p>
        </w:tc>
        <w:tc>
          <w:tcPr>
            <w:tcW w:type="dxa" w:w="1440"/>
          </w:tcPr>
          <w:p>
            <w:r>
              <w:t>Requested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  <w:tc>
          <w:tcPr>
            <w:tcW w:type="dxa" w:w="1440"/>
          </w:tcPr>
          <w:p>
            <w:r>
              <w:t>500000</w:t>
            </w:r>
          </w:p>
        </w:tc>
      </w:tr>
      <w:tr>
        <w:tc>
          <w:tcPr>
            <w:tcW w:type="dxa" w:w="1440"/>
          </w:tcPr>
          <w:p>
            <w:r>
              <w:t>2025-01-10</w:t>
            </w:r>
          </w:p>
        </w:tc>
        <w:tc>
          <w:tcPr>
            <w:tcW w:type="dxa" w:w="1440"/>
          </w:tcPr>
          <w:p>
            <w:r>
              <w:t>2025-02-14</w:t>
            </w:r>
          </w:p>
        </w:tc>
        <w:tc>
          <w:tcPr>
            <w:tcW w:type="dxa" w:w="1440"/>
          </w:tcPr>
          <w:p>
            <w:r>
              <w:t>R-250110-04</w:t>
            </w:r>
          </w:p>
        </w:tc>
        <w:tc>
          <w:tcPr>
            <w:tcW w:type="dxa" w:w="1440"/>
          </w:tcPr>
          <w:p>
            <w:r>
              <w:t>Requested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900000</w:t>
            </w:r>
          </w:p>
        </w:tc>
      </w:tr>
      <w:tr>
        <w:tc>
          <w:tcPr>
            <w:tcW w:type="dxa" w:w="1440"/>
          </w:tcPr>
          <w:p>
            <w:r>
              <w:t>2025-04-05</w:t>
            </w:r>
          </w:p>
        </w:tc>
        <w:tc>
          <w:tcPr>
            <w:tcW w:type="dxa" w:w="1440"/>
          </w:tcPr>
          <w:p>
            <w:r>
              <w:t>2025-04-05</w:t>
            </w:r>
          </w:p>
        </w:tc>
        <w:tc>
          <w:tcPr>
            <w:tcW w:type="dxa" w:w="1440"/>
          </w:tcPr>
          <w:p>
            <w:r>
              <w:t>R-250405-05</w:t>
            </w:r>
          </w:p>
        </w:tc>
        <w:tc>
          <w:tcPr>
            <w:tcW w:type="dxa" w:w="1440"/>
          </w:tcPr>
          <w:p>
            <w:r>
              <w:t>Requested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400000</w:t>
            </w:r>
          </w:p>
        </w:tc>
      </w:tr>
      <w:tr>
        <w:tc>
          <w:tcPr>
            <w:tcW w:type="dxa" w:w="1440"/>
          </w:tcPr>
          <w:p>
            <w:r>
              <w:t>2025-07-18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R-250718-06</w:t>
            </w:r>
          </w:p>
        </w:tc>
        <w:tc>
          <w:tcPr>
            <w:tcW w:type="dxa" w:w="1440"/>
          </w:tcPr>
          <w:p>
            <w:r>
              <w:t>Requested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600000</w:t>
            </w:r>
          </w:p>
        </w:tc>
      </w:tr>
    </w:tbl>
    <w:p>
      <w:r>
        <w:t>The 2025-04-05 record is a same-day request and completion. It is a genuine boundary observation: it is a completed redemption, but it has no elapsed processing period.</w:t>
      </w:r>
    </w:p>
    <w:p>
      <w:pPr>
        <w:pStyle w:val="Heading1"/>
      </w:pPr>
      <w:r>
        <w:t>Exhibit E — Conflict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Supplied fact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Wraysbury Fiduciary Advisors</w:t>
            </w:r>
          </w:p>
        </w:tc>
      </w:tr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Wraysbury affiliate, Wraysbury Placement Services Ltd., receives a placement fee connected with subscriptions to Northmere</w:t>
            </w:r>
          </w:p>
        </w:tc>
      </w:tr>
      <w:tr>
        <w:tc>
          <w:tcPr>
            <w:tcW w:type="dxa" w:w="4320"/>
          </w:tcPr>
          <w:p>
            <w:r>
              <w:t>Fee basis</w:t>
            </w:r>
          </w:p>
        </w:tc>
        <w:tc>
          <w:tcPr>
            <w:tcW w:type="dxa" w:w="4320"/>
          </w:tcPr>
          <w:p>
            <w:r>
              <w:t>1.00% of accepted subscription amount, payable by the fund sponsor</w:t>
            </w:r>
          </w:p>
        </w:tc>
      </w:tr>
      <w:tr>
        <w:tc>
          <w:tcPr>
            <w:tcW w:type="dxa" w:w="4320"/>
          </w:tcPr>
          <w:p>
            <w:r>
              <w:t>Affected personnel</w:t>
            </w:r>
          </w:p>
        </w:tc>
        <w:tc>
          <w:tcPr>
            <w:tcW w:type="dxa" w:w="4320"/>
          </w:tcPr>
          <w:p>
            <w:r>
              <w:t>Lucia Trevelyan and Tamsin Salcedo are supporting the review; Marisol Oduya is the analyst</w:t>
            </w:r>
          </w:p>
        </w:tc>
      </w:tr>
      <w:tr>
        <w:tc>
          <w:tcPr>
            <w:tcW w:type="dxa" w:w="4320"/>
          </w:tcPr>
          <w:p>
            <w:r>
              <w:t>Available controls</w:t>
            </w:r>
          </w:p>
        </w:tc>
        <w:tc>
          <w:tcPr>
            <w:tcW w:type="dxa" w:w="4320"/>
          </w:tcPr>
          <w:p>
            <w:r>
              <w:t>Written disclosure; trustee acknowledgement in minutes; independent review; recusal from vote or recommendation; approval by disinterested trustees; retain fee correspondence</w:t>
            </w:r>
          </w:p>
        </w:tc>
      </w:tr>
    </w:tbl>
    <w:p>
      <w:r>
        <w:t>End of supplied evidence bundle.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