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Hartsmere Co-Response Operating Proposal</w:t>
      </w:r>
    </w:p>
    <w:p>
      <w:pPr>
        <w:spacing w:after="40" w:line="240" w:lineRule="auto"/>
      </w:pPr>
      <w:r>
        <w:rPr>
          <w:i/>
          <w:color w:val="4B5F69"/>
        </w:rPr>
        <w:t>Friday and Saturday night patrol-clinic deployment | Submitted by Sgt. Odile Zubair for Emeka Coutinho's March clinical governance packet</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1944"/>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5"/>
              </w:rPr>
              <w:t>Control</w:t>
            </w:r>
          </w:p>
        </w:tc>
        <w:tc>
          <w:tcPr>
            <w:tcW w:type="dxa" w:w="8611"/>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5"/>
              </w:rPr>
              <w:t>Approved operating instrument</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Status / purpose</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For clinical governance approval as written. Establishes the proposed operating model and field rules for one Hartsmere crisis worker riding with one Corriewood County Sheriff's Office (CCSO) patrol unit.</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Proposed service window</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Every Friday and Saturday, 18:00-02:00 (the shift begins Friday or Saturday and ends the following morning). Co-response is not available outside this window.</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Effective point</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Becomes active only after Hartsmere Clinical Governance Committee approval, the CCSO patrol commander's written operational acceptance, and Wrenfield Associates' safety review are recorded by the named owners.</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Owners</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CCSO Patrol Commander: law-enforcement operations. Hartsmere Clinical Director: clinical practice and clinical records. Dispatch Supervisor: activation practice.</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Approval / assurance</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Hartsmere Clinical Governance Committee approves or declines this instrument. Wrenfield Associates reviews safety arrangements for the clinic and advises the Clinical Director; it has no field command, record custody, detention authority, or approval authority.</w:t>
            </w:r>
          </w:p>
        </w:tc>
      </w:tr>
      <w:tr>
        <w:tc>
          <w:tcPr>
            <w:tcW w:type="dxa" w:w="194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Version</w:t>
            </w:r>
          </w:p>
        </w:tc>
        <w:tc>
          <w:tcPr>
            <w:tcW w:type="dxa" w:w="8611"/>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1.0 | prepared 6 March 2026 | review uses the cadence in Section 6.</w:t>
            </w:r>
          </w:p>
        </w:tc>
      </w:tr>
    </w:tbl>
    <w:p>
      <w:pPr>
        <w:spacing w:after="0"/>
      </w:pPr>
    </w:p>
    <w:p>
      <w:pPr>
        <w:pStyle w:val="Heading1"/>
        <w:spacing w:before="80" w:after="40"/>
      </w:pPr>
      <w:r>
        <w:t>1. Decision and service boundary</w:t>
      </w:r>
    </w:p>
    <w:p>
      <w:pPr>
        <w:spacing w:after="40" w:line="240" w:lineRule="auto"/>
      </w:pPr>
      <w:r>
        <w:t>This is a limited co-response service, not a replacement for ordinary patrol, emergency medical response, or routine clinic outreach. Patrol receives about twenty behavioral-health calls in a typical week; that context does not establish demand, outcomes, or staffing need. The proposed service aims to support safer assessment, clearer coordination, voluntary stabilization and referral where appropriate, and lawful, proportionate action when safety requires it.</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5270"/>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In scope when the unit is on duty and available</w:t>
            </w:r>
          </w:p>
        </w:tc>
        <w:tc>
          <w:tcPr>
            <w:tcW w:type="dxa" w:w="5285"/>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Do not send the clinician into engagement until...</w:t>
            </w:r>
          </w:p>
        </w:tc>
      </w:tr>
      <w:tr>
        <w:tc>
          <w:tcPr>
            <w:tcW w:type="dxa" w:w="5270"/>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A dispatcher or patrol supervisor identifies an apparent behavioral-health crisis, welfare concern, suicidal or self-harm concern, or other call where a timely clinical assessment may add value.</w:t>
            </w:r>
          </w:p>
        </w:tc>
        <w:tc>
          <w:tcPr>
            <w:tcW w:type="dxa" w:w="528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Dispatch information and the assigned deputy assess the location and state that the scene is sufficiently secure for direct engagement.</w:t>
            </w:r>
          </w:p>
        </w:tc>
      </w:tr>
      <w:tr>
        <w:tc>
          <w:tcPr>
            <w:tcW w:type="dxa" w:w="5270"/>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The caller/person may benefit from voluntary assessment, crisis planning, referral, or a coordinated handoff.</w:t>
            </w:r>
          </w:p>
        </w:tc>
        <w:tc>
          <w:tcPr>
            <w:tcW w:type="dxa" w:w="5285"/>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Active violence, a weapon threat, an uncontained serious crime, or apparent medical instability is controlled, staged, or assigned to the appropriate primary response.</w:t>
            </w:r>
          </w:p>
        </w:tc>
      </w:tr>
    </w:tbl>
    <w:p>
      <w:pPr>
        <w:spacing w:after="0"/>
      </w:pPr>
    </w:p>
    <w:p>
      <w:pPr>
        <w:spacing w:after="40" w:line="240" w:lineRule="auto"/>
      </w:pPr>
      <w:r>
        <w:t>This proposal uses “clinician” for the Hartsmere crisis worker and “deputy” for the assigned CCSO deputy. “Clearance” means the deputy's current safety determination, not a promise that risk cannot change.</w:t>
      </w:r>
    </w:p>
    <w:p>
      <w:r>
        <w:br w:type="page"/>
      </w:r>
    </w:p>
    <w:p>
      <w:pPr>
        <w:pStyle w:val="Heading1"/>
        <w:spacing w:before="80" w:after="40"/>
      </w:pPr>
      <w:r>
        <w:t>2. Authority, activation, and pre-shift readiness</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2059"/>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5"/>
              </w:rPr>
              <w:t>Function</w:t>
            </w:r>
          </w:p>
        </w:tc>
        <w:tc>
          <w:tcPr>
            <w:tcW w:type="dxa" w:w="849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5"/>
              </w:rPr>
              <w:t>Accountable role and non-delegable boundary</w:t>
            </w:r>
          </w:p>
        </w:tc>
      </w:tr>
      <w:tr>
        <w:tc>
          <w:tcPr>
            <w:tcW w:type="dxa" w:w="205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Scene and enforcement</w:t>
            </w:r>
          </w:p>
        </w:tc>
        <w:tc>
          <w:tcPr>
            <w:tcW w:type="dxa" w:w="849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The deputy controls scene security, tactical decisions, enforcement action, use-of-force decisions, searches, restraints, evidence handling, pursuit, prisoner guarding, custody, and the legal decision to detain. The patrol supervisor directs law-enforcement supervision.</w:t>
            </w:r>
          </w:p>
        </w:tc>
      </w:tr>
      <w:tr>
        <w:tc>
          <w:tcPr>
            <w:tcW w:type="dxa" w:w="205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Clinical work</w:t>
            </w:r>
          </w:p>
        </w:tc>
        <w:tc>
          <w:tcPr>
            <w:tcW w:type="dxa" w:w="849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The clinician independently controls clinical assessment, clinical recommendations, clinical supervision, and clinical documentation. The Hartsmere Clinical Director directs clinical supervision. A deputy does not direct diagnosis, care recommendation, or the clinical note.</w:t>
            </w:r>
          </w:p>
        </w:tc>
      </w:tr>
      <w:tr>
        <w:tc>
          <w:tcPr>
            <w:tcW w:type="dxa" w:w="205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Coordination</w:t>
            </w:r>
          </w:p>
        </w:tc>
        <w:tc>
          <w:tcPr>
            <w:tcW w:type="dxa" w:w="849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5"/>
              </w:rPr>
              <w:t>The team shares only what is lawful, purpose-related, and the minimum reasonably necessary. Neither role has joint command over the other's decision rights.</w:t>
            </w:r>
          </w:p>
        </w:tc>
      </w:tr>
      <w:tr>
        <w:tc>
          <w:tcPr>
            <w:tcW w:type="dxa" w:w="205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Safety assurance</w:t>
            </w:r>
          </w:p>
        </w:tc>
        <w:tc>
          <w:tcPr>
            <w:tcW w:type="dxa" w:w="849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5"/>
              </w:rPr>
              <w:t>Wrenfield Associates reviews safety arrangements and reports advice to the Clinical Director. The governance committee oversees approval and review; neither directs live tactical or clinical decisions.</w:t>
            </w:r>
          </w:p>
        </w:tc>
      </w:tr>
    </w:tbl>
    <w:p>
      <w:pPr>
        <w:spacing w:after="0"/>
      </w:pPr>
    </w:p>
    <w:p>
      <w:pPr>
        <w:pStyle w:val="Heading1"/>
        <w:spacing w:before="80" w:after="40"/>
      </w:pPr>
      <w:r>
        <w:t>Dispatch and prioritization</w:t>
      </w:r>
    </w:p>
    <w:p>
      <w:pPr>
        <w:spacing w:after="40" w:line="240" w:lineRule="auto"/>
      </w:pPr>
      <w:r>
        <w:t>At shift start, the patrol supervisor confirms that the paired unit is on duty and available; dispatch marks it available only after that confirmation. Dispatch sends eligible calls through normal channels and gives the team the address, caller safety information, known weapons or violence information available in CAD, medical flags, and any current service constraints. The dispatcher does not provide clinic-record access or assume clinical eligibility from a label alone.</w:t>
      </w:r>
    </w:p>
    <w:p>
      <w:pPr>
        <w:spacing w:after="40" w:line="240" w:lineRule="auto"/>
      </w:pPr>
      <w:r>
        <w:t>If eligible calls compete, the patrol supervisor applies current safety risk, immediacy, availability, distance/ability to respond, and likely clinical utility, then tells dispatch the selected assignment. Dispatch communicates the assignment and continues to route unselected calls to ordinary patrol or the appropriate response. A supervisor may stage the clinician or decline co-response for the call.</w:t>
      </w:r>
    </w:p>
    <w:p>
      <w:pPr>
        <w:pStyle w:val="Heading1"/>
        <w:spacing w:before="80" w:after="40"/>
      </w:pPr>
      <w:r>
        <w:t>Required pre-shift check</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2520"/>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Who</w:t>
            </w:r>
          </w:p>
        </w:tc>
        <w:tc>
          <w:tcPr>
            <w:tcW w:type="dxa" w:w="8035"/>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Before dispatch marks availability</w:t>
            </w:r>
          </w:p>
        </w:tc>
      </w:tr>
      <w:tr>
        <w:tc>
          <w:tcPr>
            <w:tcW w:type="dxa" w:w="2520"/>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Deputy + clinician</w:t>
            </w:r>
          </w:p>
        </w:tc>
        <w:tc>
          <w:tcPr>
            <w:tcW w:type="dxa" w:w="803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Confirm pairing, radio/dispatch contact, a deputy-controlled emergency signal or radio procedure, vehicle readiness, protective/safety equipment, safe waiting location, and immediate deputy availability. The clinician does not rely solely on a personal phone to summon assistance.</w:t>
            </w:r>
          </w:p>
        </w:tc>
      </w:tr>
      <w:tr>
        <w:tc>
          <w:tcPr>
            <w:tcW w:type="dxa" w:w="2520"/>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Patrol supervisor + Dispatch Supervisor</w:t>
            </w:r>
          </w:p>
        </w:tc>
        <w:tc>
          <w:tcPr>
            <w:tcW w:type="dxa" w:w="8035"/>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Confirm the service window, unit availability, backup/EMS request route, transport options, call-routing limits, and method to announce a changed scene status.</w:t>
            </w:r>
          </w:p>
        </w:tc>
      </w:tr>
      <w:tr>
        <w:tc>
          <w:tcPr>
            <w:tcW w:type="dxa" w:w="2520"/>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Clinical Director/designee</w:t>
            </w:r>
          </w:p>
        </w:tc>
        <w:tc>
          <w:tcPr>
            <w:tcW w:type="dxa" w:w="803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Confirm the clinician is appropriately credentialed/competent for crisis work, has access to clinical supervision, and has the current paper/EHR documentation method.</w:t>
            </w:r>
          </w:p>
        </w:tc>
      </w:tr>
    </w:tbl>
    <w:p>
      <w:pPr>
        <w:spacing w:after="0"/>
      </w:pPr>
    </w:p>
    <w:p>
      <w:pPr>
        <w:spacing w:after="40" w:line="240" w:lineRule="auto"/>
      </w:pPr>
      <w:r>
        <w:t>If the clinician, deputy, paired vehicle, radio/dispatch contact, or required safety capability is unavailable, dispatch marks co-response unavailable. Ordinary patrol and normal clinical referral pathways continue; the clinician is never deployed alone.</w:t>
      </w:r>
    </w:p>
    <w:p>
      <w:r>
        <w:br w:type="page"/>
      </w:r>
    </w:p>
    <w:p>
      <w:pPr>
        <w:pStyle w:val="Heading1"/>
        <w:spacing w:before="80" w:after="40"/>
      </w:pPr>
      <w:r>
        <w:t>3. Field procedure: arrival, engagement, disagreement, disposition</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165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Step</w:t>
            </w:r>
          </w:p>
        </w:tc>
        <w:tc>
          <w:tcPr>
            <w:tcW w:type="dxa" w:w="8899"/>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Required action / completion point</w:t>
            </w:r>
          </w:p>
        </w:tc>
      </w:tr>
      <w:tr>
        <w:tc>
          <w:tcPr>
            <w:tcW w:type="dxa" w:w="165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1. Stage and clear</w:t>
            </w:r>
          </w:p>
        </w:tc>
        <w:tc>
          <w:tcPr>
            <w:tcW w:type="dxa" w:w="889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Deputy receives dispatch information, chooses staging, and assesses persons, exits, hazards, weapons, violence, and need for backup or EMS. The clinician remains with the deputy or at the agreed safe location. No solo contact at an unsecured scene and no separation without an explicit safety arrangement and immediate deputy availability.</w:t>
            </w:r>
          </w:p>
        </w:tc>
      </w:tr>
      <w:tr>
        <w:tc>
          <w:tcPr>
            <w:tcW w:type="dxa" w:w="165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2. Engage</w:t>
            </w:r>
          </w:p>
        </w:tc>
        <w:tc>
          <w:tcPr>
            <w:tcW w:type="dxa" w:w="889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After deputy clearance, explain roles and seek consent for clinical assessment when appropriate. Explain that clinical confidentiality has legally recognized limits and that a police-attended encounter cannot promise absolute secrecy. Existing law and CCSO policy govern body-worn camera use; the clinician cannot switch recording off or guarantee non-recording.</w:t>
            </w:r>
          </w:p>
        </w:tc>
      </w:tr>
      <w:tr>
        <w:tc>
          <w:tcPr>
            <w:tcW w:type="dxa" w:w="165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3. Assess and decide</w:t>
            </w:r>
          </w:p>
        </w:tc>
        <w:tc>
          <w:tcPr>
            <w:tcW w:type="dxa" w:w="889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Use voluntary, least-restrictive assessment, stabilization, referral, and transport where lawful and safe. For apparent overdose, serious injury, altered consciousness, or other medical instability, request EMS/emergency medical assessment; the clinician is not a substitute for medical care.</w:t>
            </w:r>
          </w:p>
        </w:tc>
      </w:tr>
      <w:tr>
        <w:tc>
          <w:tcPr>
            <w:tcW w:type="dxa" w:w="165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4. Change in safety</w:t>
            </w:r>
          </w:p>
        </w:tc>
        <w:tc>
          <w:tcPr>
            <w:tcW w:type="dxa" w:w="889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If violence, weapon threat, or uncontrolled hazard emerges, clinician immediately withdraws/moves to the designated safe location and communicates by radio/deputy emergency signal. Deputies manage the threat. The clinician re-enters only after renewed deputy clearance.</w:t>
            </w:r>
          </w:p>
        </w:tc>
      </w:tr>
      <w:tr>
        <w:tc>
          <w:tcPr>
            <w:tcW w:type="dxa" w:w="165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5. Close</w:t>
            </w:r>
          </w:p>
        </w:tc>
        <w:tc>
          <w:tcPr>
            <w:tcW w:type="dxa" w:w="889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Confirm disposition, transport responsibility, accepted handoff, required records, and whether any incident notification is due before the team returns available.</w:t>
            </w:r>
          </w:p>
        </w:tc>
      </w:tr>
    </w:tbl>
    <w:p>
      <w:pPr>
        <w:spacing w:after="0"/>
      </w:pPr>
    </w:p>
    <w:p>
      <w:pPr>
        <w:pStyle w:val="Heading1"/>
        <w:spacing w:before="80" w:after="40"/>
      </w:pPr>
      <w:r>
        <w:t>Detention and clinical disagreement</w:t>
      </w:r>
    </w:p>
    <w:p>
      <w:pPr>
        <w:spacing w:after="40" w:line="240" w:lineRule="auto"/>
      </w:pPr>
      <w:r>
        <w:t>When detention is considered, the authorized deputy alone decides whether lawful grounds exist and independently articulates those grounds in the applicable law-enforcement record. Clinical input is relevant but a diagnosis, assessment, or recommendation is not detention authority. A clinician who objects may state an alternative recommendation and document the clinical objection in the clinic-controlled record; the objection does not veto a lawful detention.</w:t>
      </w:r>
    </w:p>
    <w:p>
      <w:pPr>
        <w:spacing w:after="40" w:line="240" w:lineRule="auto"/>
      </w:pPr>
      <w:r>
        <w:t>When practicable, the deputy promptly consults the patrol supervisor and the clinician contacts clinical supervision. Consultation must not delay immediately necessary safety action or lawful custody action. Both accounts are preserved in their respective records; a material disagreement is flagged for routine joint review after the immediate event.</w:t>
      </w:r>
    </w:p>
    <w:p>
      <w:pPr>
        <w:pStyle w:val="Heading1"/>
        <w:spacing w:before="80" w:after="40"/>
      </w:pPr>
      <w:r>
        <w:t>Disposition and accepted handoff</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2347"/>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Path</w:t>
            </w:r>
          </w:p>
        </w:tc>
        <w:tc>
          <w:tcPr>
            <w:tcW w:type="dxa" w:w="8208"/>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Transport / minimum information / acceptance</w:t>
            </w:r>
          </w:p>
        </w:tc>
      </w:tr>
      <w:tr>
        <w:tc>
          <w:tcPr>
            <w:tcW w:type="dxa" w:w="2347"/>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Voluntary clinical or community care</w:t>
            </w:r>
          </w:p>
        </w:tc>
        <w:tc>
          <w:tcPr>
            <w:tcW w:type="dxa" w:w="8208"/>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Clinician arranges an appropriate voluntary transport option; deputy assists only within law and policy. Person remains a voluntary passenger or patient, not in law-enforcement custody. Clinician sends only necessary care/referral information with consent or another lawful basis. Handoff is complete when the receiving service confirms acceptance or the person receives the agreed referral/plan.</w:t>
            </w:r>
          </w:p>
        </w:tc>
      </w:tr>
      <w:tr>
        <w:tc>
          <w:tcPr>
            <w:tcW w:type="dxa" w:w="2347"/>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Emergency medical care</w:t>
            </w:r>
          </w:p>
        </w:tc>
        <w:tc>
          <w:tcPr>
            <w:tcW w:type="dxa" w:w="8208"/>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EMS provides or arranges medical transport. Deputy provides necessary safety/incident information to EMS; clinician provides necessary clinical information under applicable law. Handoff is complete when EMS or the emergency department accepts responsibility.</w:t>
            </w:r>
          </w:p>
        </w:tc>
      </w:tr>
      <w:tr>
        <w:tc>
          <w:tcPr>
            <w:tcW w:type="dxa" w:w="2347"/>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Lawful custody or emergency detention</w:t>
            </w:r>
          </w:p>
        </w:tc>
        <w:tc>
          <w:tcPr>
            <w:tcW w:type="dxa" w:w="8208"/>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Deputy retains custody and arranges transport under law and CCSO policy; clinician does not take custody. Deputy provides required custody/safety information and clinician provides only lawfully shareable necessary clinical information. Handoff is complete when the lawful receiving authority accepts custody or care and the deputy documents transfer.</w:t>
            </w:r>
          </w:p>
        </w:tc>
      </w:tr>
    </w:tbl>
    <w:p>
      <w:pPr>
        <w:spacing w:after="0"/>
      </w:pPr>
    </w:p>
    <w:p>
      <w:r>
        <w:br w:type="page"/>
      </w:r>
    </w:p>
    <w:p>
      <w:pPr>
        <w:pStyle w:val="Heading1"/>
        <w:spacing w:before="80" w:after="40"/>
      </w:pPr>
      <w:r>
        <w:t>4. Records, privacy, and the documentation transition</w:t>
      </w:r>
    </w:p>
    <w:p>
      <w:pPr>
        <w:spacing w:after="40" w:line="240" w:lineRule="auto"/>
      </w:pPr>
      <w:r>
        <w:t>Clinical assessment and care documentation, including during ride-alongs, form part of the clinic-controlled clinical record. Dispatch, enforcement, force, detention, and other reportable police activity require the applicable separate law-enforcement record; the clinical note never substitutes for it, and a police record is not Hartsmere's treatment record. Access is role-based. Field papers/devices remain in the clinician's control and are not stored in the patrol vehicle except as a brief secured carry arrangement under the clinician's control.</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1987"/>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State</w:t>
            </w:r>
          </w:p>
        </w:tc>
        <w:tc>
          <w:tcPr>
            <w:tcW w:type="dxa" w:w="8568"/>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Authoritative record and workable field method</w:t>
            </w:r>
          </w:p>
        </w:tc>
      </w:tr>
      <w:tr>
        <w:tc>
          <w:tcPr>
            <w:tcW w:type="dxa" w:w="1987"/>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Paper transition period</w:t>
            </w:r>
          </w:p>
        </w:tc>
        <w:tc>
          <w:tcPr>
            <w:tcW w:type="dxa" w:w="8568"/>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The authorized Hartsmere paper clinical chart is the single authoritative clinical record. Clinician completes the approved paper encounter note or approved temporary worksheet, safeguards it in a closed clinic-controlled carrier, and transfers it to the designated clinic records intake at the first practicable opportunity. The temporary worksheet is then incorporated into the chart or disposed of only under Hartsmere's authorized records schedule; it does not remain as a competing clinical record.</w:t>
            </w:r>
          </w:p>
        </w:tc>
      </w:tr>
      <w:tr>
        <w:tc>
          <w:tcPr>
            <w:tcW w:type="dxa" w:w="1987"/>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EHR end state</w:t>
            </w:r>
          </w:p>
        </w:tc>
        <w:tc>
          <w:tcPr>
            <w:tcW w:type="dxa" w:w="8568"/>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Hartsmere's electronic health record is the single authoritative clinical record. Clinician enters the encounter in the EHR using approved access. Any field aid is a controlled temporary capture and is reconciled to the EHR, then retained or securely destroyed only under the clinic's authorized records schedule.</w:t>
            </w:r>
          </w:p>
        </w:tc>
      </w:tr>
      <w:tr>
        <w:tc>
          <w:tcPr>
            <w:tcW w:type="dxa" w:w="1987"/>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EHR downtime</w:t>
            </w:r>
          </w:p>
        </w:tc>
        <w:tc>
          <w:tcPr>
            <w:tcW w:type="dxa" w:w="8568"/>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Use Hartsmere's approved secure downtime form or controlled temporary capture for essential information. Secure it, enter it into the EHR when service returns, and record/verify reconciliation. The temporary capture is then handled under the authorized records schedule.</w:t>
            </w:r>
          </w:p>
        </w:tc>
      </w:tr>
    </w:tbl>
    <w:p>
      <w:pPr>
        <w:spacing w:after="0"/>
      </w:pPr>
    </w:p>
    <w:p>
      <w:pPr>
        <w:pStyle w:val="Heading1"/>
        <w:spacing w:before="80" w:after="40"/>
      </w:pPr>
      <w:r>
        <w:t>Cutover control and disclosure</w:t>
      </w:r>
    </w:p>
    <w:p>
      <w:pPr>
        <w:spacing w:after="40" w:line="240" w:lineRule="auto"/>
      </w:pPr>
      <w:r>
        <w:t>The Hartsmere Clinical Director makes one cutover decision, states the effective point in writing to clinicians, dispatch liaison, and patrol leadership, and designates a records lead for notes created around cutover. An encounter started before the effective point follows the paper procedure unless the records lead directs controlled migration; an encounter begun after follows the EHR procedure. The records lead resolves any duplicate or incomplete entry so only the designated authoritative record remains.</w:t>
      </w:r>
    </w:p>
    <w:p>
      <w:pPr>
        <w:spacing w:after="40" w:line="240" w:lineRule="auto"/>
      </w:pPr>
      <w:r>
        <w:t>At initial clinical contact, seek consent for sharing when appropriate. Share only minimum necessary information for a lawful operational or care purpose. Imminent safety threats, abuse or neglect reporting duties, court process, and other legally required disclosures are handled under applicable law and policy. Suspected loss, misdirection, or unauthorized access is promptly reported through the applicable Hartsmere privacy/incident route and/or CCSO information-security route; preserve the item/system and notify the relevant supervisor.</w:t>
      </w:r>
    </w:p>
    <w:p>
      <w:r>
        <w:br w:type="page"/>
      </w:r>
    </w:p>
    <w:p>
      <w:pPr>
        <w:pStyle w:val="Heading1"/>
        <w:spacing w:before="80" w:after="40"/>
      </w:pPr>
      <w:r>
        <w:t>5. Incident control, notifications, and service continuity</w:t>
      </w:r>
    </w:p>
    <w:tbl>
      <w:tblPr>
        <w:tblW w:type="auto" w:w="0"/>
        <w:jc w:val="center"/>
        <w:tblLayout w:type="fixed"/>
        <w:tblLook w:firstColumn="1" w:firstRow="1" w:lastColumn="0" w:lastRow="0" w:noHBand="0" w:noVBand="1" w:val="04A0"/>
      </w:tblPr>
      <w:tblGrid>
        <w:gridCol w:w="3581"/>
        <w:gridCol w:w="3581"/>
        <w:gridCol w:w="3581"/>
      </w:tblGrid>
      <w:tr>
        <w:trPr>
          <w:tblHeader w:val="true"/>
        </w:trPr>
        <w:tc>
          <w:tcPr>
            <w:tcW w:type="dxa" w:w="2664"/>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Event</w:t>
            </w:r>
          </w:p>
        </w:tc>
        <w:tc>
          <w:tcPr>
            <w:tcW w:type="dxa" w:w="381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Immediate route</w:t>
            </w:r>
          </w:p>
        </w:tc>
        <w:tc>
          <w:tcPr>
            <w:tcW w:type="dxa" w:w="4075"/>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Record and follow-up</w:t>
            </w:r>
          </w:p>
        </w:tc>
      </w:tr>
      <w:tr>
        <w:tc>
          <w:tcPr>
            <w:tcW w:type="dxa" w:w="266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Safety event, injury, threat, weapon event, force, custody issue, or material protocol departure</w:t>
            </w:r>
          </w:p>
        </w:tc>
        <w:tc>
          <w:tcPr>
            <w:tcW w:type="dxa" w:w="381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Deputy notifies patrol supervisor/dispatch by the urgent route; clinician notifies the Clinical Director or on-call clinical supervisor by the urgent route. Request backup/EMS as needed.</w:t>
            </w:r>
          </w:p>
        </w:tc>
        <w:tc>
          <w:tcPr>
            <w:tcW w:type="dxa" w:w="407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Each organization completes its applicable incident/reporting process promptly. Notify both owners when the event affects both roles; do not wait for governance review.</w:t>
            </w:r>
          </w:p>
        </w:tc>
      </w:tr>
      <w:tr>
        <w:tc>
          <w:tcPr>
            <w:tcW w:type="dxa" w:w="266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Privacy incident, lost/misdirected paper, device, or unauthorized access</w:t>
            </w:r>
          </w:p>
        </w:tc>
        <w:tc>
          <w:tcPr>
            <w:tcW w:type="dxa" w:w="381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Secure the material/device and promptly notify the clinician's clinical/privacy route and, where police information is involved, the deputy's CCSO route.</w:t>
            </w:r>
          </w:p>
        </w:tc>
        <w:tc>
          <w:tcPr>
            <w:tcW w:type="dxa" w:w="4075"/>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Use each applicable incident system and preserve facts needed for review. No blanket exchange of the underlying records occurs merely because an incident was reported.</w:t>
            </w:r>
          </w:p>
        </w:tc>
      </w:tr>
      <w:tr>
        <w:tc>
          <w:tcPr>
            <w:tcW w:type="dxa" w:w="266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Routine operational concern or non-material deviation</w:t>
            </w:r>
          </w:p>
        </w:tc>
        <w:tc>
          <w:tcPr>
            <w:tcW w:type="dxa" w:w="381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Tell the patrol supervisor and clinical supervisor before end of shift when practicable.</w:t>
            </w:r>
          </w:p>
        </w:tc>
        <w:tc>
          <w:tcPr>
            <w:tcW w:type="dxa" w:w="407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Log through the applicable local supervisory process for review at the next joint operating review.</w:t>
            </w:r>
          </w:p>
        </w:tc>
      </w:tr>
    </w:tbl>
    <w:p>
      <w:pPr>
        <w:spacing w:after="0"/>
      </w:pPr>
    </w:p>
    <w:p>
      <w:pPr>
        <w:pStyle w:val="Heading1"/>
        <w:spacing w:before="80" w:after="40"/>
      </w:pPr>
      <w:r>
        <w:t>Immediate pause / reassessment authority</w:t>
      </w:r>
    </w:p>
    <w:p>
      <w:pPr>
        <w:spacing w:after="40" w:line="240" w:lineRule="auto"/>
      </w:pPr>
      <w:r>
        <w:t>The patrol supervisor may pause field deployment for a serious scene-safety event, inadequate law-enforcement support, unsafe vehicle/communications capability, or repeated operational failure. The Clinical Director may pause clinical participation for a serious clinical-safety event, inadequate clinical supervision/credentialing support, privacy or record-control failure, or repeated clinical protocol failure. Either owner promptly tells the other and dispatch. A pause suspends co-response only; normal patrol and ordinary clinic pathways continue. Restart requires both owners to document that the relevant control is restored; committee oversight does not replace either owner's immediate authority.</w:t>
      </w:r>
    </w:p>
    <w:p>
      <w:pPr>
        <w:pStyle w:val="Heading1"/>
        <w:spacing w:before="80" w:after="40"/>
      </w:pPr>
      <w:r>
        <w:t>Minimum incident review</w:t>
      </w:r>
    </w:p>
    <w:p>
      <w:pPr>
        <w:spacing w:after="40" w:line="240" w:lineRule="auto"/>
      </w:pPr>
      <w:r>
        <w:t>For a material cross-agency event, the Patrol Commander and Clinical Director request a focused review of actions, communications, documentation, and safeguards. Wrenfield Associates may advise the Clinical Director on safety safeguards. The review does not alter statutory duties, substitute for either organization's incident process, or decide live custody, force, or clinical care.</w:t>
      </w:r>
    </w:p>
    <w:p>
      <w:pPr>
        <w:pStyle w:val="Heading1"/>
        <w:spacing w:before="80" w:after="40"/>
      </w:pPr>
      <w:r>
        <w:t>Field constraints to retain throughout a shift</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525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Always</w:t>
            </w:r>
          </w:p>
        </w:tc>
        <w:tc>
          <w:tcPr>
            <w:tcW w:type="dxa" w:w="5299"/>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Never</w:t>
            </w:r>
          </w:p>
        </w:tc>
      </w:tr>
      <w:tr>
        <w:tc>
          <w:tcPr>
            <w:tcW w:type="dxa" w:w="525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Deputy and clinician use an agreed safe location and deputy-controlled emergency communication; dispatch is kept aware of a status change. The clinician may have a private clinical conversation only after explicit safety arrangement, with immediate deputy availability.</w:t>
            </w:r>
          </w:p>
        </w:tc>
        <w:tc>
          <w:tcPr>
            <w:tcW w:type="dxa" w:w="529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Do not assign the clinician searches, restraints, evidence handling, pursuit, prisoner guarding, tactical tasks, or enforcement functions. Do not leave the clinician for solo contact at an unsecured scene.</w:t>
            </w:r>
          </w:p>
        </w:tc>
      </w:tr>
      <w:tr>
        <w:tc>
          <w:tcPr>
            <w:tcW w:type="dxa" w:w="525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The assigned deputy remains subject to CCSO supervision; the clinician remains subject to Hartsmere clinical supervision. A supervisor may redirect a call to ordinary patrol, EMS, or another response.</w:t>
            </w:r>
          </w:p>
        </w:tc>
        <w:tc>
          <w:tcPr>
            <w:tcW w:type="dxa" w:w="529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Do not treat a clinical recommendation as a detention order; do not treat a detention decision as a clinical conclusion; do not create reciprocal full-record access.</w:t>
            </w:r>
          </w:p>
        </w:tc>
      </w:tr>
    </w:tbl>
    <w:p>
      <w:pPr>
        <w:spacing w:after="0"/>
      </w:pPr>
    </w:p>
    <w:p>
      <w:r>
        <w:br w:type="page"/>
      </w:r>
    </w:p>
    <w:p>
      <w:pPr>
        <w:pStyle w:val="Heading1"/>
        <w:spacing w:before="80" w:after="40"/>
      </w:pPr>
      <w:r>
        <w:t>6. Assurance, review, and approval decision</w:t>
      </w:r>
    </w:p>
    <w:p>
      <w:pPr>
        <w:spacing w:after="40" w:line="240" w:lineRule="auto"/>
      </w:pPr>
      <w:r>
        <w:t>This is a controlled operational proposal. It does not promise arrest, force, hospitalization, recurrence, cost, or clinical outcomes. It will be assessed from records already created in normal operations, with clinical and law-enforcement access kept separate except for lawful minimum-necessary review information.</w:t>
      </w:r>
    </w:p>
    <w:tbl>
      <w:tblPr>
        <w:tblW w:type="auto" w:w="0"/>
        <w:jc w:val="center"/>
        <w:tblLayout w:type="fixed"/>
        <w:tblLook w:firstColumn="1" w:firstRow="1" w:lastColumn="0" w:lastRow="0" w:noHBand="0" w:noVBand="1" w:val="04A0"/>
      </w:tblPr>
      <w:tblGrid>
        <w:gridCol w:w="5371"/>
        <w:gridCol w:w="5371"/>
      </w:tblGrid>
      <w:tr>
        <w:trPr>
          <w:tblHeader w:val="true"/>
        </w:trPr>
        <w:tc>
          <w:tcPr>
            <w:tcW w:type="dxa" w:w="4579"/>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Proposed measure</w:t>
            </w:r>
          </w:p>
        </w:tc>
        <w:tc>
          <w:tcPr>
            <w:tcW w:type="dxa" w:w="597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Source owner / review use</w:t>
            </w:r>
          </w:p>
        </w:tc>
      </w:tr>
      <w:tr>
        <w:tc>
          <w:tcPr>
            <w:tcW w:type="dxa" w:w="457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Availability: scheduled window marked available, unavailable, or suspended; reason category where recorded</w:t>
            </w:r>
          </w:p>
        </w:tc>
        <w:tc>
          <w:tcPr>
            <w:tcW w:type="dxa" w:w="597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Dispatch Supervisor maintains dispatch availability information; Patrol Commander and Clinical Director review service coverage and constraints.</w:t>
            </w:r>
          </w:p>
        </w:tc>
      </w:tr>
      <w:tr>
        <w:tc>
          <w:tcPr>
            <w:tcW w:type="dxa" w:w="457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Process: dispatched co-response assignments, staging/declines, completed eligible contacts, consultation flags, and completed handoffs</w:t>
            </w:r>
          </w:p>
        </w:tc>
        <w:tc>
          <w:tcPr>
            <w:tcW w:type="dxa" w:w="597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Dispatch and applicable patrol records identify operational process; Hartsmere clinical records identify clinical-contact/handoff information. Owners use de-identified or minimum-necessary summaries.</w:t>
            </w:r>
          </w:p>
        </w:tc>
      </w:tr>
      <w:tr>
        <w:tc>
          <w:tcPr>
            <w:tcW w:type="dxa" w:w="4579"/>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Disposition: voluntary referral/transport, EMS transfer, or custody-related handoff category</w:t>
            </w:r>
          </w:p>
        </w:tc>
        <w:tc>
          <w:tcPr>
            <w:tcW w:type="dxa" w:w="597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Respective ordinary records; review checks completion of handoff, not whether a disposition caused a later outcome.</w:t>
            </w:r>
          </w:p>
        </w:tc>
      </w:tr>
      <w:tr>
        <w:tc>
          <w:tcPr>
            <w:tcW w:type="dxa" w:w="4579"/>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Safety and control: injuries, threats, force events, privacy incidents, material deviations, pauses, and corrective actions</w:t>
            </w:r>
          </w:p>
        </w:tc>
        <w:tc>
          <w:tcPr>
            <w:tcW w:type="dxa" w:w="597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Each organization's incident/supervisory records. Wrenfield may advise on the clinic safety review.</w:t>
            </w:r>
          </w:p>
        </w:tc>
      </w:tr>
    </w:tbl>
    <w:p>
      <w:pPr>
        <w:spacing w:after="0"/>
      </w:pPr>
    </w:p>
    <w:p>
      <w:pPr>
        <w:pStyle w:val="Heading1"/>
        <w:spacing w:before="80" w:after="40"/>
      </w:pPr>
      <w:r>
        <w:t>Interpretation and cadence</w:t>
      </w:r>
    </w:p>
    <w:p>
      <w:pPr>
        <w:spacing w:after="40" w:line="240" w:lineRule="auto"/>
      </w:pPr>
      <w:r>
        <w:t>The Patrol Commander and Clinical Director receive a joint minimum-necessary operational summary every 60 days (a proposed operating parameter) and after any material cross-agency event. The Hartsmere Clinical Governance Committee receives the same 60-day governance summary and Wrenfield safety advice where requested. At each review, the Clinical Governance Committee and CCSO Patrol Commander jointly authorize continuation, modification, or closure within their respective authorities; the Clinical Director retains clinical controls. Local volume is limited, calls are selected for co-response, and there is no comparison baseline. Observations therefore describe operations and safeguards; they do not prove that the model caused an outcome.</w:t>
      </w:r>
    </w:p>
    <w:p>
      <w:pPr>
        <w:pStyle w:val="Heading1"/>
        <w:spacing w:before="80" w:after="40"/>
      </w:pPr>
      <w:r>
        <w:t>Approval record</w:t>
      </w:r>
    </w:p>
    <w:tbl>
      <w:tblPr>
        <w:tblW w:type="auto" w:w="0"/>
        <w:jc w:val="center"/>
        <w:tblLayout w:type="fixed"/>
        <w:tblLook w:firstColumn="1" w:firstRow="1" w:lastColumn="0" w:lastRow="0" w:noHBand="0" w:noVBand="1" w:val="04A0"/>
      </w:tblPr>
      <w:tblGrid>
        <w:gridCol w:w="3581"/>
        <w:gridCol w:w="3581"/>
        <w:gridCol w:w="3581"/>
      </w:tblGrid>
      <w:tr>
        <w:trPr>
          <w:tblHeader w:val="true"/>
        </w:trPr>
        <w:tc>
          <w:tcPr>
            <w:tcW w:type="dxa" w:w="3096"/>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Decision maker</w:t>
            </w:r>
          </w:p>
        </w:tc>
        <w:tc>
          <w:tcPr>
            <w:tcW w:type="dxa" w:w="3715"/>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Decision</w:t>
            </w:r>
          </w:p>
        </w:tc>
        <w:tc>
          <w:tcPr>
            <w:tcW w:type="dxa" w:w="3744"/>
            <w:shd w:fill="1F4E5F"/>
            <w:tcBorders>
              <w:top w:val="single" w:sz="4" w:color="1F4E5F"/>
              <w:left w:val="single" w:sz="4" w:color="1F4E5F"/>
              <w:bottom w:val="single" w:sz="4" w:color="1F4E5F"/>
              <w:right w:val="single" w:sz="4" w:color="1F4E5F"/>
            </w:tcBorders>
            <w:tcMar>
              <w:top w:w="55" w:type="dxa"/>
              <w:start w:w="75" w:type="dxa"/>
              <w:bottom w:w="55" w:type="dxa"/>
              <w:end w:w="75" w:type="dxa"/>
            </w:tcMar>
            <w:vAlign w:val="center"/>
          </w:tcPr>
          <w:p>
            <w:r>
              <w:rPr>
                <w:rFonts w:ascii="Aptos" w:hAnsi="Aptos"/>
                <w:b/>
                <w:color w:val="FFFFFF"/>
                <w:sz w:val="14"/>
              </w:rPr>
              <w:t>Name / signature / date</w:t>
            </w:r>
          </w:p>
        </w:tc>
      </w:tr>
      <w:tr>
        <w:tc>
          <w:tcPr>
            <w:tcW w:type="dxa" w:w="309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Hartsmere Clinical Governance Committee</w:t>
            </w:r>
          </w:p>
        </w:tc>
        <w:tc>
          <w:tcPr>
            <w:tcW w:type="dxa" w:w="371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Approve as written / decline</w:t>
            </w:r>
          </w:p>
        </w:tc>
        <w:tc>
          <w:tcPr>
            <w:tcW w:type="dxa" w:w="374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________________________________</w:t>
            </w:r>
          </w:p>
        </w:tc>
      </w:tr>
      <w:tr>
        <w:tc>
          <w:tcPr>
            <w:tcW w:type="dxa" w:w="309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CCSO Patrol Commander</w:t>
            </w:r>
          </w:p>
        </w:tc>
        <w:tc>
          <w:tcPr>
            <w:tcW w:type="dxa" w:w="3715"/>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Operational acceptance after committee approval</w:t>
            </w:r>
          </w:p>
        </w:tc>
        <w:tc>
          <w:tcPr>
            <w:tcW w:type="dxa" w:w="374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________________________________</w:t>
            </w:r>
          </w:p>
        </w:tc>
      </w:tr>
      <w:tr>
        <w:tc>
          <w:tcPr>
            <w:tcW w:type="dxa" w:w="3096"/>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Hartsmere Clinical Director</w:t>
            </w:r>
          </w:p>
        </w:tc>
        <w:tc>
          <w:tcPr>
            <w:tcW w:type="dxa" w:w="3715"/>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Clinical ownership, readiness, and records acceptance</w:t>
            </w:r>
          </w:p>
        </w:tc>
        <w:tc>
          <w:tcPr>
            <w:tcW w:type="dxa" w:w="3744"/>
            <w:tcBorders>
              <w:top w:val="single" w:sz="4" w:color="B7C4CD"/>
              <w:left w:val="single" w:sz="4" w:color="B7C4CD"/>
              <w:bottom w:val="single" w:sz="4" w:color="B7C4CD"/>
              <w:right w:val="single" w:sz="4" w:color="B7C4CD"/>
            </w:tcBorders>
            <w:tcMar>
              <w:top w:w="55" w:type="dxa"/>
              <w:start w:w="75" w:type="dxa"/>
              <w:bottom w:w="55" w:type="dxa"/>
              <w:end w:w="75" w:type="dxa"/>
            </w:tcMar>
            <w:vAlign w:val="center"/>
          </w:tcPr>
          <w:p>
            <w:pPr>
              <w:spacing w:after="0" w:line="240" w:lineRule="auto"/>
            </w:pPr>
            <w:r>
              <w:rPr>
                <w:rFonts w:ascii="Aptos" w:hAnsi="Aptos"/>
                <w:sz w:val="14"/>
              </w:rPr>
              <w:t>________________________________</w:t>
            </w:r>
          </w:p>
        </w:tc>
      </w:tr>
      <w:tr>
        <w:tc>
          <w:tcPr>
            <w:tcW w:type="dxa" w:w="3096"/>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Wrenfield Associates</w:t>
            </w:r>
          </w:p>
        </w:tc>
        <w:tc>
          <w:tcPr>
            <w:tcW w:type="dxa" w:w="3715"/>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Safety review advice provided to Clinical Director</w:t>
            </w:r>
          </w:p>
        </w:tc>
        <w:tc>
          <w:tcPr>
            <w:tcW w:type="dxa" w:w="3744"/>
            <w:tcBorders>
              <w:top w:val="single" w:sz="4" w:color="B7C4CD"/>
              <w:left w:val="single" w:sz="4" w:color="B7C4CD"/>
              <w:bottom w:val="single" w:sz="4" w:color="B7C4CD"/>
              <w:right w:val="single" w:sz="4" w:color="B7C4CD"/>
            </w:tcBorders>
            <w:tcMar>
              <w:top w:w="55" w:type="dxa"/>
              <w:start w:w="75" w:type="dxa"/>
              <w:bottom w:w="55" w:type="dxa"/>
              <w:end w:w="75" w:type="dxa"/>
            </w:tcMar>
            <w:shd w:fill="EEF3F5"/>
            <w:vAlign w:val="center"/>
          </w:tcPr>
          <w:p>
            <w:pPr>
              <w:spacing w:after="0" w:line="240" w:lineRule="auto"/>
            </w:pPr>
            <w:r>
              <w:rPr>
                <w:rFonts w:ascii="Aptos" w:hAnsi="Aptos"/>
                <w:sz w:val="14"/>
              </w:rPr>
              <w:t>________________________________</w:t>
            </w:r>
          </w:p>
        </w:tc>
      </w:tr>
    </w:tbl>
    <w:p>
      <w:pPr>
        <w:spacing w:after="0"/>
      </w:pPr>
    </w:p>
    <w:p>
      <w:pPr>
        <w:spacing w:after="40" w:line="240" w:lineRule="auto"/>
      </w:pPr>
      <w:r>
        <w:t>Approval activates only at the effective point stated in Section 1. Any local policy or legal requirement that is more protective or controlling remains applicable; this instrument does not create a new detention authority or waive existing records, privacy, camera, force, or reporting requirements.</w:t>
      </w:r>
    </w:p>
    <w:sectPr w:rsidR="00FC693F" w:rsidRPr="0006063C" w:rsidSect="00034616">
      <w:headerReference w:type="default" r:id="rId9"/>
      <w:footerReference w:type="default" r:id="rId10"/>
      <w:pgSz w:w="12240" w:h="15840"/>
      <w:pgMar w:top="605" w:right="749" w:bottom="605" w:left="749"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646E"/>
        <w:sz w:val="13"/>
      </w:rPr>
      <w:t xml:space="preserve">Controlled proposal | Clinical Governance packet | 6 March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646E"/>
        <w:sz w:val="13"/>
      </w:rPr>
      <w:t>CORRIEWOOD COUNTY SHERIFF'S OFFICE  |  HARTSMERE CLINIC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aps w:val="0"/>
      <w:color w:val="173B4B"/>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aps w:val="0"/>
      <w:color w:val="1F4E5F"/>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aps w:val="0"/>
      <w:color w:val="173B4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