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DUNMORE TESTAMENTARY TRUST</w:t>
      </w:r>
    </w:p>
    <w:p>
      <w:pPr>
        <w:spacing w:after="60" w:line="240" w:lineRule="auto"/>
        <w:jc w:val="center"/>
      </w:pPr>
      <w:r>
        <w:rPr>
          <w:b/>
          <w:i w:val="0"/>
          <w:sz w:val="20"/>
        </w:rPr>
        <w:t>FIDUCIARY ACCOUNTING • FIRST ACCOUNTING AFTER FARM-PARCEL SALE</w:t>
      </w:r>
    </w:p>
    <w:p>
      <w:pPr>
        <w:spacing w:after="60" w:line="240" w:lineRule="auto"/>
        <w:jc w:val="center"/>
      </w:pPr>
      <w:r>
        <w:rPr>
          <w:b w:val="0"/>
          <w:i w:val="0"/>
          <w:sz w:val="17"/>
        </w:rPr>
        <w:t>Court-facing filing draft | Trustee: Cecile Ntumba | Prepared by: Ivo Marchenko, Ostrander &amp; Quill</w:t>
      </w:r>
    </w:p>
    <w:tbl>
      <w:tblPr>
        <w:tblW w:type="auto" w:w="0"/>
        <w:jc w:val="center"/>
        <w:tblLayout w:type="fixed"/>
        <w:tblLook w:firstColumn="1" w:firstRow="1" w:lastColumn="0" w:lastRow="0" w:noHBand="0" w:noVBand="1" w:val="04A0"/>
      </w:tblPr>
      <w:tblGrid>
        <w:gridCol w:w="5227"/>
        <w:gridCol w:w="5227"/>
      </w:tblGrid>
      <w:tr>
        <w:tc>
          <w:tcPr>
            <w:tcW w:type="dxa" w:w="2376"/>
            <w:shd w:fill="DCE6F1"/>
          </w:tcPr>
          <w:p>
            <w:r>
              <w:rPr>
                <w:b/>
                <w:sz w:val="16"/>
              </w:rPr>
              <w:t>Matter</w:t>
            </w:r>
          </w:p>
        </w:tc>
        <w:tc>
          <w:tcPr>
            <w:tcW w:type="dxa" w:w="8352"/>
            <w:shd w:fill="DCE6F1"/>
          </w:tcPr>
          <w:p>
            <w:r>
              <w:rPr>
                <w:b/>
                <w:sz w:val="16"/>
              </w:rPr>
              <w:t>Reported status</w:t>
            </w:r>
          </w:p>
        </w:tc>
      </w:tr>
      <w:tr>
        <w:tc>
          <w:tcPr>
            <w:tcW w:type="dxa" w:w="2376"/>
          </w:tcPr>
          <w:p>
            <w:r>
              <w:rPr>
                <w:sz w:val="16"/>
              </w:rPr>
              <w:t>Fiduciary capacity</w:t>
            </w:r>
          </w:p>
        </w:tc>
        <w:tc>
          <w:tcPr>
            <w:tcW w:type="dxa" w:w="8352"/>
          </w:tcPr>
          <w:p>
            <w:r>
              <w:rPr>
                <w:sz w:val="16"/>
              </w:rPr>
              <w:t>Cecile Ntumba, trustee of the Dunmore Testamentary Trust</w:t>
            </w:r>
          </w:p>
        </w:tc>
      </w:tr>
      <w:tr>
        <w:tc>
          <w:tcPr>
            <w:tcW w:type="dxa" w:w="2376"/>
          </w:tcPr>
          <w:p>
            <w:r>
              <w:rPr>
                <w:sz w:val="16"/>
              </w:rPr>
              <w:t>Accounting period</w:t>
            </w:r>
          </w:p>
        </w:tc>
        <w:tc>
          <w:tcPr>
            <w:tcW w:type="dxa" w:w="8352"/>
          </w:tcPr>
          <w:p>
            <w:r>
              <w:rPr>
                <w:sz w:val="16"/>
              </w:rPr>
              <w:t>Period ending after the March farm-parcel sale; exact start/end dates are not supplied</w:t>
            </w:r>
          </w:p>
        </w:tc>
      </w:tr>
      <w:tr>
        <w:tc>
          <w:tcPr>
            <w:tcW w:type="dxa" w:w="2376"/>
          </w:tcPr>
          <w:p>
            <w:r>
              <w:rPr>
                <w:sz w:val="16"/>
              </w:rPr>
              <w:t>Preparation date</w:t>
            </w:r>
          </w:p>
        </w:tc>
        <w:tc>
          <w:tcPr>
            <w:tcW w:type="dxa" w:w="8352"/>
          </w:tcPr>
          <w:p>
            <w:r>
              <w:rPr>
                <w:sz w:val="16"/>
              </w:rPr>
              <w:t>24 August 2026 (draft from supplied file history only)</w:t>
            </w:r>
          </w:p>
        </w:tc>
      </w:tr>
      <w:tr>
        <w:tc>
          <w:tcPr>
            <w:tcW w:type="dxa" w:w="2376"/>
          </w:tcPr>
          <w:p>
            <w:r>
              <w:rPr>
                <w:sz w:val="16"/>
              </w:rPr>
              <w:t>Record status</w:t>
            </w:r>
          </w:p>
        </w:tc>
        <w:tc>
          <w:tcPr>
            <w:tcW w:type="dxa" w:w="8352"/>
          </w:tcPr>
          <w:p>
            <w:r>
              <w:rPr>
                <w:sz w:val="16"/>
              </w:rPr>
              <w:t>No ledger, bank statements, closing statement, governing instrument, prior accounting, or court order supplied</w:t>
            </w:r>
          </w:p>
        </w:tc>
      </w:tr>
    </w:tbl>
    <w:p>
      <w:pPr>
        <w:spacing w:after="60" w:line="240" w:lineRule="auto"/>
        <w:jc w:val="left"/>
      </w:pPr>
      <w:r>
        <w:rPr>
          <w:b w:val="0"/>
          <w:i w:val="0"/>
          <w:sz w:val="4"/>
        </w:rPr>
      </w:r>
    </w:p>
    <w:p>
      <w:pPr>
        <w:pStyle w:val="Heading1"/>
        <w:spacing w:before="100" w:after="40"/>
      </w:pPr>
      <w:r>
        <w:t>Purpose and scope</w:t>
      </w:r>
    </w:p>
    <w:p>
      <w:pPr>
        <w:spacing w:after="60" w:line="240" w:lineRule="auto"/>
        <w:jc w:val="left"/>
      </w:pPr>
      <w:r>
        <w:rPr>
          <w:b w:val="0"/>
          <w:i w:val="0"/>
        </w:rPr>
        <w:t>This accounting presents the trust’s beginning position, activity, and ending position for Cecile Ntumba’s review and potential filing. It is an accounting presentation—not a trust construction, legal opinion, tax determination, independent appraisal, or decision about any beneficiary’s ultimate entitlement. The March sale is distinct so consideration, costs, carrying value, depreciation reserve, and proceeds can be traced without inventing figures.</w:t>
      </w:r>
    </w:p>
    <w:p>
      <w:pPr>
        <w:spacing w:after="60" w:line="240" w:lineRule="auto"/>
        <w:jc w:val="left"/>
      </w:pPr>
      <w:r>
        <w:rPr>
          <w:b w:val="0"/>
          <w:i w:val="0"/>
        </w:rPr>
        <w:t>“Unavailable—record required” is not zero. The supplied record prevents a numerical proof of cash and net assets; totals are therefore pending rather than manufactured.</w:t>
      </w:r>
    </w:p>
    <w:p>
      <w:pPr>
        <w:pStyle w:val="Heading1"/>
        <w:spacing w:before="100" w:after="40"/>
      </w:pPr>
      <w:r>
        <w:t>Reader caution</w:t>
      </w:r>
    </w:p>
    <w:p>
      <w:pPr>
        <w:spacing w:after="60" w:line="240" w:lineRule="auto"/>
        <w:jc w:val="left"/>
      </w:pPr>
      <w:r>
        <w:rPr>
          <w:b w:val="0"/>
          <w:i w:val="0"/>
        </w:rPr>
        <w:t>Neither this draft, a schedule within it, nor a future approval of the accounting by itself establishes what an income beneficiary or remainder beneficiary is legally entitled to receive. Do not use it as a substitute for the governing instrument, counsel’s interpretation, a tax adviser’s determination, an independent valuation, or a court order. Any approval would not silently resolve matters identified as unresolved.</w:t>
      </w:r>
    </w:p>
    <w:p>
      <w:r>
        <w:br w:type="page"/>
      </w:r>
    </w:p>
    <w:p>
      <w:pPr>
        <w:pStyle w:val="Heading1"/>
        <w:spacing w:before="100" w:after="40"/>
      </w:pPr>
      <w:r>
        <w:t>1. Basis, evidence, and responsibilities</w:t>
      </w:r>
    </w:p>
    <w:p>
      <w:pPr>
        <w:pStyle w:val="Heading2"/>
        <w:spacing w:before="100" w:after="40"/>
      </w:pPr>
      <w:r>
        <w:t>Accounting basis and conventions</w:t>
      </w:r>
    </w:p>
    <w:p>
      <w:pPr>
        <w:spacing w:after="60" w:line="240" w:lineRule="auto"/>
        <w:jc w:val="left"/>
      </w:pPr>
      <w:r>
        <w:rPr>
          <w:b w:val="0"/>
          <w:i w:val="0"/>
        </w:rPr>
        <w:t>The draft uses a modified-cash fiduciary accounting basis: receipts and disbursements are reported when collected or paid; period-end assets and liabilities are listed separately; and non-cash entries (such as reserve clearance) are disclosed as accounting changes rather than cash. Principal (corpus) and fiduciary accounting income are separated where relevant. A transaction is not income merely because it creates cash. No unrealized valuation change is reported.</w:t>
      </w:r>
    </w:p>
    <w:tbl>
      <w:tblPr>
        <w:tblW w:type="auto" w:w="0"/>
        <w:jc w:val="center"/>
        <w:tblLayout w:type="fixed"/>
        <w:tblLook w:firstColumn="1" w:firstRow="1" w:lastColumn="0" w:lastRow="0" w:noHBand="0" w:noVBand="1" w:val="04A0"/>
      </w:tblPr>
      <w:tblGrid>
        <w:gridCol w:w="3485"/>
        <w:gridCol w:w="3485"/>
        <w:gridCol w:w="3485"/>
      </w:tblGrid>
      <w:tr>
        <w:tc>
          <w:tcPr>
            <w:tcW w:type="dxa" w:w="1800"/>
            <w:shd w:fill="DCE6F1"/>
          </w:tcPr>
          <w:p>
            <w:r>
              <w:rPr>
                <w:b/>
                <w:sz w:val="14"/>
              </w:rPr>
              <w:t>Evidence category</w:t>
            </w:r>
          </w:p>
        </w:tc>
        <w:tc>
          <w:tcPr>
            <w:tcW w:type="dxa" w:w="5040"/>
            <w:shd w:fill="DCE6F1"/>
          </w:tcPr>
          <w:p>
            <w:r>
              <w:rPr>
                <w:b/>
                <w:sz w:val="14"/>
              </w:rPr>
              <w:t>What is supported</w:t>
            </w:r>
          </w:p>
        </w:tc>
        <w:tc>
          <w:tcPr>
            <w:tcW w:type="dxa" w:w="3888"/>
            <w:shd w:fill="DCE6F1"/>
          </w:tcPr>
          <w:p>
            <w:r>
              <w:rPr>
                <w:b/>
                <w:sz w:val="14"/>
              </w:rPr>
              <w:t>Effect</w:t>
            </w:r>
          </w:p>
        </w:tc>
      </w:tr>
      <w:tr>
        <w:tc>
          <w:tcPr>
            <w:tcW w:type="dxa" w:w="1800"/>
          </w:tcPr>
          <w:p>
            <w:r>
              <w:rPr>
                <w:sz w:val="14"/>
              </w:rPr>
              <w:t>Supplied fact</w:t>
            </w:r>
          </w:p>
        </w:tc>
        <w:tc>
          <w:tcPr>
            <w:tcW w:type="dxa" w:w="5040"/>
          </w:tcPr>
          <w:p>
            <w:r>
              <w:rPr>
                <w:sz w:val="14"/>
              </w:rPr>
              <w:t>Trust name; Cecile Ntumba as trustee; March farm-parcel sale; file-history references to Vantridge Utilities and Quarryfield Analytics</w:t>
            </w:r>
          </w:p>
        </w:tc>
        <w:tc>
          <w:tcPr>
            <w:tcW w:type="dxa" w:w="3888"/>
          </w:tcPr>
          <w:p>
            <w:r>
              <w:rPr>
                <w:sz w:val="14"/>
              </w:rPr>
              <w:t>Used only in qualified captions/notes</w:t>
            </w:r>
          </w:p>
        </w:tc>
      </w:tr>
      <w:tr>
        <w:tc>
          <w:tcPr>
            <w:tcW w:type="dxa" w:w="1800"/>
          </w:tcPr>
          <w:p>
            <w:r>
              <w:rPr>
                <w:sz w:val="14"/>
              </w:rPr>
              <w:t>Not supplied</w:t>
            </w:r>
          </w:p>
        </w:tc>
        <w:tc>
          <w:tcPr>
            <w:tcW w:type="dxa" w:w="5040"/>
          </w:tcPr>
          <w:p>
            <w:r>
              <w:rPr>
                <w:sz w:val="14"/>
              </w:rPr>
              <w:t>Period dates, opening records, sale/closing support, buyer, consideration, costs, basis, reserve ledger, distributions, liabilities, election notice</w:t>
            </w:r>
          </w:p>
        </w:tc>
        <w:tc>
          <w:tcPr>
            <w:tcW w:type="dxa" w:w="3888"/>
          </w:tcPr>
          <w:p>
            <w:r>
              <w:rPr>
                <w:sz w:val="14"/>
              </w:rPr>
              <w:t>Amounts and identities remain unavailable</w:t>
            </w:r>
          </w:p>
        </w:tc>
      </w:tr>
      <w:tr>
        <w:tc>
          <w:tcPr>
            <w:tcW w:type="dxa" w:w="1800"/>
          </w:tcPr>
          <w:p>
            <w:r>
              <w:rPr>
                <w:sz w:val="14"/>
              </w:rPr>
              <w:t>Accounting presentation</w:t>
            </w:r>
          </w:p>
        </w:tc>
        <w:tc>
          <w:tcPr>
            <w:tcW w:type="dxa" w:w="5040"/>
          </w:tcPr>
          <w:p>
            <w:r>
              <w:rPr>
                <w:sz w:val="14"/>
              </w:rPr>
              <w:t>Schedules, sign convention, principal/income columns, sale/reserve bridge</w:t>
            </w:r>
          </w:p>
        </w:tc>
        <w:tc>
          <w:tcPr>
            <w:tcW w:type="dxa" w:w="3888"/>
          </w:tcPr>
          <w:p>
            <w:r>
              <w:rPr>
                <w:sz w:val="14"/>
              </w:rPr>
              <w:t>Prepared by Ivo Marchenko; does not adopt trustee decisions</w:t>
            </w:r>
          </w:p>
        </w:tc>
      </w:tr>
      <w:tr>
        <w:tc>
          <w:tcPr>
            <w:tcW w:type="dxa" w:w="1800"/>
          </w:tcPr>
          <w:p>
            <w:r>
              <w:rPr>
                <w:sz w:val="14"/>
              </w:rPr>
              <w:t>Outside scope</w:t>
            </w:r>
          </w:p>
        </w:tc>
        <w:tc>
          <w:tcPr>
            <w:tcW w:type="dxa" w:w="5040"/>
          </w:tcPr>
          <w:p>
            <w:r>
              <w:rPr>
                <w:sz w:val="14"/>
              </w:rPr>
              <w:t>Trust interpretation, entitlement, tax, appraisal/fair value, fiduciary decisions</w:t>
            </w:r>
          </w:p>
        </w:tc>
        <w:tc>
          <w:tcPr>
            <w:tcW w:type="dxa" w:w="3888"/>
          </w:tcPr>
          <w:p>
            <w:r>
              <w:rPr>
                <w:sz w:val="14"/>
              </w:rPr>
              <w:t>Counsel, tax adviser, valuation function, or court as applicable</w:t>
            </w:r>
          </w:p>
        </w:tc>
      </w:tr>
    </w:tbl>
    <w:p>
      <w:pPr>
        <w:spacing w:after="60" w:line="240" w:lineRule="auto"/>
        <w:jc w:val="left"/>
      </w:pPr>
      <w:r>
        <w:rPr>
          <w:b w:val="0"/>
          <w:i w:val="0"/>
          <w:sz w:val="4"/>
        </w:rPr>
      </w:r>
    </w:p>
    <w:p>
      <w:pPr>
        <w:pStyle w:val="Heading2"/>
        <w:spacing w:before="100" w:after="40"/>
      </w:pPr>
      <w:r>
        <w:t>Opening basis and party identification</w:t>
      </w:r>
    </w:p>
    <w:p>
      <w:pPr>
        <w:spacing w:after="60" w:line="240" w:lineRule="auto"/>
        <w:jc w:val="left"/>
      </w:pPr>
      <w:r>
        <w:rPr>
          <w:b w:val="0"/>
          <w:i w:val="0"/>
        </w:rPr>
        <w:t>No prior accounting, trust inventory, or opening statements were supplied. Beginning cash, investments, receivables, parcel carrying value, depreciation reserve, and liabilities are controlled placeholders, not asserted balances. Vantridge Utilities and Quarryfield Analytics appear only in file history. The supplied record does not establish whether either was a payer, payee, service provider, broker, appraiser, or otherwise involved. No amount, contract, valuation, or relationship is attributed to either organization.</w:t>
      </w:r>
    </w:p>
    <w:p>
      <w:r>
        <w:br w:type="page"/>
      </w:r>
    </w:p>
    <w:p>
      <w:pPr>
        <w:pStyle w:val="Heading1"/>
        <w:spacing w:before="100" w:after="40"/>
      </w:pPr>
      <w:r>
        <w:t>2. Statement of fiduciary position</w:t>
      </w:r>
    </w:p>
    <w:p>
      <w:pPr>
        <w:spacing w:after="60" w:line="240" w:lineRule="auto"/>
        <w:jc w:val="left"/>
      </w:pPr>
      <w:r>
        <w:rPr>
          <w:b w:val="0"/>
          <w:i w:val="0"/>
        </w:rPr>
        <w:t>U.S. dollars unless a record shows otherwise. Parentheses indicate reductions. “Unavailable” means records are needed and is not a zero balance.</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736"/>
            <w:shd w:fill="DCE6F1"/>
          </w:tcPr>
          <w:p>
            <w:r>
              <w:rPr>
                <w:b/>
                <w:sz w:val="14"/>
              </w:rPr>
              <w:t>Category</w:t>
            </w:r>
          </w:p>
        </w:tc>
        <w:tc>
          <w:tcPr>
            <w:tcW w:type="dxa" w:w="2448"/>
            <w:shd w:fill="DCE6F1"/>
          </w:tcPr>
          <w:p>
            <w:r>
              <w:rPr>
                <w:b/>
                <w:sz w:val="14"/>
              </w:rPr>
              <w:t>Beginning</w:t>
            </w:r>
          </w:p>
        </w:tc>
        <w:tc>
          <w:tcPr>
            <w:tcW w:type="dxa" w:w="3168"/>
            <w:shd w:fill="DCE6F1"/>
          </w:tcPr>
          <w:p>
            <w:r>
              <w:rPr>
                <w:b/>
                <w:sz w:val="14"/>
              </w:rPr>
              <w:t>Period activity</w:t>
            </w:r>
          </w:p>
        </w:tc>
        <w:tc>
          <w:tcPr>
            <w:tcW w:type="dxa" w:w="2376"/>
            <w:shd w:fill="DCE6F1"/>
          </w:tcPr>
          <w:p>
            <w:r>
              <w:rPr>
                <w:b/>
                <w:sz w:val="14"/>
              </w:rPr>
              <w:t>Ending</w:t>
            </w:r>
          </w:p>
        </w:tc>
      </w:tr>
      <w:tr>
        <w:tc>
          <w:tcPr>
            <w:tcW w:type="dxa" w:w="2736"/>
          </w:tcPr>
          <w:p>
            <w:r>
              <w:rPr>
                <w:sz w:val="14"/>
              </w:rPr>
              <w:t>Cash</w:t>
            </w:r>
          </w:p>
        </w:tc>
        <w:tc>
          <w:tcPr>
            <w:tcW w:type="dxa" w:w="2448"/>
          </w:tcPr>
          <w:p>
            <w:r>
              <w:rPr>
                <w:sz w:val="14"/>
              </w:rPr>
              <w:t>Unavailable—record required</w:t>
            </w:r>
          </w:p>
        </w:tc>
        <w:tc>
          <w:tcPr>
            <w:tcW w:type="dxa" w:w="3168"/>
          </w:tcPr>
          <w:p>
            <w:r>
              <w:rPr>
                <w:sz w:val="14"/>
              </w:rPr>
              <w:t>Receipts less payments unavailable</w:t>
            </w:r>
          </w:p>
        </w:tc>
        <w:tc>
          <w:tcPr>
            <w:tcW w:type="dxa" w:w="2376"/>
          </w:tcPr>
          <w:p>
            <w:r>
              <w:rPr>
                <w:sz w:val="14"/>
              </w:rPr>
              <w:t>Unavailable—bank statement required</w:t>
            </w:r>
          </w:p>
        </w:tc>
      </w:tr>
      <w:tr>
        <w:tc>
          <w:tcPr>
            <w:tcW w:type="dxa" w:w="2736"/>
          </w:tcPr>
          <w:p>
            <w:r>
              <w:rPr>
                <w:sz w:val="14"/>
              </w:rPr>
              <w:t>Investments</w:t>
            </w:r>
          </w:p>
        </w:tc>
        <w:tc>
          <w:tcPr>
            <w:tcW w:type="dxa" w:w="2448"/>
          </w:tcPr>
          <w:p>
            <w:r>
              <w:rPr>
                <w:sz w:val="14"/>
              </w:rPr>
              <w:t>Unavailable—record required</w:t>
            </w:r>
          </w:p>
        </w:tc>
        <w:tc>
          <w:tcPr>
            <w:tcW w:type="dxa" w:w="3168"/>
          </w:tcPr>
          <w:p>
            <w:r>
              <w:rPr>
                <w:sz w:val="14"/>
              </w:rPr>
              <w:t>No supported activity reported</w:t>
            </w:r>
          </w:p>
        </w:tc>
        <w:tc>
          <w:tcPr>
            <w:tcW w:type="dxa" w:w="2376"/>
          </w:tcPr>
          <w:p>
            <w:r>
              <w:rPr>
                <w:sz w:val="14"/>
              </w:rPr>
              <w:t>Unavailable—statement required</w:t>
            </w:r>
          </w:p>
        </w:tc>
      </w:tr>
      <w:tr>
        <w:tc>
          <w:tcPr>
            <w:tcW w:type="dxa" w:w="2736"/>
          </w:tcPr>
          <w:p>
            <w:r>
              <w:rPr>
                <w:sz w:val="14"/>
              </w:rPr>
              <w:t>Farm parcel (pre-sale asset)</w:t>
            </w:r>
          </w:p>
        </w:tc>
        <w:tc>
          <w:tcPr>
            <w:tcW w:type="dxa" w:w="2448"/>
          </w:tcPr>
          <w:p>
            <w:r>
              <w:rPr>
                <w:sz w:val="14"/>
              </w:rPr>
              <w:t>Unavailable—basis record required</w:t>
            </w:r>
          </w:p>
        </w:tc>
        <w:tc>
          <w:tcPr>
            <w:tcW w:type="dxa" w:w="3168"/>
          </w:tcPr>
          <w:p>
            <w:r>
              <w:rPr>
                <w:sz w:val="14"/>
              </w:rPr>
              <w:t>Disposition in March; Schedule 3</w:t>
            </w:r>
          </w:p>
        </w:tc>
        <w:tc>
          <w:tcPr>
            <w:tcW w:type="dxa" w:w="2376"/>
          </w:tcPr>
          <w:p>
            <w:r>
              <w:rPr>
                <w:sz w:val="14"/>
              </w:rPr>
              <w:t>None after sale, subject to closing confirmation</w:t>
            </w:r>
          </w:p>
        </w:tc>
      </w:tr>
      <w:tr>
        <w:tc>
          <w:tcPr>
            <w:tcW w:type="dxa" w:w="2736"/>
          </w:tcPr>
          <w:p>
            <w:r>
              <w:rPr>
                <w:sz w:val="14"/>
              </w:rPr>
              <w:t>Receivable / sale proceeds</w:t>
            </w:r>
          </w:p>
        </w:tc>
        <w:tc>
          <w:tcPr>
            <w:tcW w:type="dxa" w:w="2448"/>
          </w:tcPr>
          <w:p>
            <w:r>
              <w:rPr>
                <w:sz w:val="14"/>
              </w:rPr>
              <w:t>Unavailable</w:t>
            </w:r>
          </w:p>
        </w:tc>
        <w:tc>
          <w:tcPr>
            <w:tcW w:type="dxa" w:w="3168"/>
          </w:tcPr>
          <w:p>
            <w:r>
              <w:rPr>
                <w:sz w:val="14"/>
              </w:rPr>
              <w:t>Consideration and collection status unavailable</w:t>
            </w:r>
          </w:p>
        </w:tc>
        <w:tc>
          <w:tcPr>
            <w:tcW w:type="dxa" w:w="2376"/>
          </w:tcPr>
          <w:p>
            <w:r>
              <w:rPr>
                <w:sz w:val="14"/>
              </w:rPr>
              <w:t>Unavailable—closing/bank records required</w:t>
            </w:r>
          </w:p>
        </w:tc>
      </w:tr>
      <w:tr>
        <w:tc>
          <w:tcPr>
            <w:tcW w:type="dxa" w:w="2736"/>
          </w:tcPr>
          <w:p>
            <w:r>
              <w:rPr>
                <w:sz w:val="14"/>
              </w:rPr>
              <w:t>Depreciation reserve (non-cash contra-asset)</w:t>
            </w:r>
          </w:p>
        </w:tc>
        <w:tc>
          <w:tcPr>
            <w:tcW w:type="dxa" w:w="2448"/>
          </w:tcPr>
          <w:p>
            <w:r>
              <w:rPr>
                <w:sz w:val="14"/>
              </w:rPr>
              <w:t>Unavailable—reserve ledger required</w:t>
            </w:r>
          </w:p>
        </w:tc>
        <w:tc>
          <w:tcPr>
            <w:tcW w:type="dxa" w:w="3168"/>
          </w:tcPr>
          <w:p>
            <w:r>
              <w:rPr>
                <w:sz w:val="14"/>
              </w:rPr>
              <w:t>Clearance/reclassification on disposal unavailable</w:t>
            </w:r>
          </w:p>
        </w:tc>
        <w:tc>
          <w:tcPr>
            <w:tcW w:type="dxa" w:w="2376"/>
          </w:tcPr>
          <w:p>
            <w:r>
              <w:rPr>
                <w:sz w:val="14"/>
              </w:rPr>
              <w:t>Not cash; disposition pending records</w:t>
            </w:r>
          </w:p>
        </w:tc>
      </w:tr>
      <w:tr>
        <w:tc>
          <w:tcPr>
            <w:tcW w:type="dxa" w:w="2736"/>
          </w:tcPr>
          <w:p>
            <w:r>
              <w:rPr>
                <w:sz w:val="14"/>
              </w:rPr>
              <w:t>Other assets</w:t>
            </w:r>
          </w:p>
        </w:tc>
        <w:tc>
          <w:tcPr>
            <w:tcW w:type="dxa" w:w="2448"/>
          </w:tcPr>
          <w:p>
            <w:r>
              <w:rPr>
                <w:sz w:val="14"/>
              </w:rPr>
              <w:t>Unavailable</w:t>
            </w:r>
          </w:p>
        </w:tc>
        <w:tc>
          <w:tcPr>
            <w:tcW w:type="dxa" w:w="3168"/>
          </w:tcPr>
          <w:p>
            <w:r>
              <w:rPr>
                <w:sz w:val="14"/>
              </w:rPr>
              <w:t>No supported activity reported</w:t>
            </w:r>
          </w:p>
        </w:tc>
        <w:tc>
          <w:tcPr>
            <w:tcW w:type="dxa" w:w="2376"/>
          </w:tcPr>
          <w:p>
            <w:r>
              <w:rPr>
                <w:sz w:val="14"/>
              </w:rPr>
              <w:t>Unavailable—inventory required</w:t>
            </w:r>
          </w:p>
        </w:tc>
      </w:tr>
      <w:tr>
        <w:tc>
          <w:tcPr>
            <w:tcW w:type="dxa" w:w="2736"/>
          </w:tcPr>
          <w:p>
            <w:r>
              <w:rPr>
                <w:sz w:val="14"/>
              </w:rPr>
              <w:t>Liabilities / accrued obligations</w:t>
            </w:r>
          </w:p>
        </w:tc>
        <w:tc>
          <w:tcPr>
            <w:tcW w:type="dxa" w:w="2448"/>
          </w:tcPr>
          <w:p>
            <w:r>
              <w:rPr>
                <w:sz w:val="14"/>
              </w:rPr>
              <w:t>Unavailable</w:t>
            </w:r>
          </w:p>
        </w:tc>
        <w:tc>
          <w:tcPr>
            <w:tcW w:type="dxa" w:w="3168"/>
          </w:tcPr>
          <w:p>
            <w:r>
              <w:rPr>
                <w:sz w:val="14"/>
              </w:rPr>
              <w:t>Claims, taxes, closing obligations/payables not supplied</w:t>
            </w:r>
          </w:p>
        </w:tc>
        <w:tc>
          <w:tcPr>
            <w:tcW w:type="dxa" w:w="2376"/>
          </w:tcPr>
          <w:p>
            <w:r>
              <w:rPr>
                <w:sz w:val="14"/>
              </w:rPr>
              <w:t>Unavailable—payables required</w:t>
            </w:r>
          </w:p>
        </w:tc>
      </w:tr>
      <w:tr>
        <w:tc>
          <w:tcPr>
            <w:tcW w:type="dxa" w:w="2736"/>
          </w:tcPr>
          <w:p>
            <w:r>
              <w:rPr>
                <w:sz w:val="14"/>
              </w:rPr>
              <w:t>Net fiduciary position</w:t>
            </w:r>
          </w:p>
        </w:tc>
        <w:tc>
          <w:tcPr>
            <w:tcW w:type="dxa" w:w="2448"/>
          </w:tcPr>
          <w:p>
            <w:r>
              <w:rPr>
                <w:sz w:val="14"/>
              </w:rPr>
              <w:t>Not numerically determinable</w:t>
            </w:r>
          </w:p>
        </w:tc>
        <w:tc>
          <w:tcPr>
            <w:tcW w:type="dxa" w:w="3168"/>
          </w:tcPr>
          <w:p>
            <w:r>
              <w:rPr>
                <w:sz w:val="14"/>
              </w:rPr>
              <w:t>See reconciliation</w:t>
            </w:r>
          </w:p>
        </w:tc>
        <w:tc>
          <w:tcPr>
            <w:tcW w:type="dxa" w:w="2376"/>
          </w:tcPr>
          <w:p>
            <w:r>
              <w:rPr>
                <w:sz w:val="14"/>
              </w:rPr>
              <w:t>Not numerically determinable</w:t>
            </w:r>
          </w:p>
        </w:tc>
      </w:tr>
    </w:tbl>
    <w:p>
      <w:pPr>
        <w:spacing w:after="60" w:line="240" w:lineRule="auto"/>
        <w:jc w:val="left"/>
      </w:pPr>
      <w:r>
        <w:rPr>
          <w:b w:val="0"/>
          <w:i w:val="0"/>
          <w:sz w:val="4"/>
        </w:rPr>
      </w:r>
    </w:p>
    <w:p>
      <w:pPr>
        <w:pStyle w:val="Heading2"/>
        <w:spacing w:before="100" w:after="40"/>
      </w:pPr>
      <w:r>
        <w:t>Classification summary</w:t>
      </w:r>
    </w:p>
    <w:tbl>
      <w:tblPr>
        <w:tblW w:type="auto" w:w="0"/>
        <w:jc w:val="center"/>
        <w:tblLayout w:type="fixed"/>
        <w:tblLook w:firstColumn="1" w:firstRow="1" w:lastColumn="0" w:lastRow="0" w:noHBand="0" w:noVBand="1" w:val="04A0"/>
      </w:tblPr>
      <w:tblGrid>
        <w:gridCol w:w="3485"/>
        <w:gridCol w:w="3485"/>
        <w:gridCol w:w="3485"/>
      </w:tblGrid>
      <w:tr>
        <w:tc>
          <w:tcPr>
            <w:tcW w:type="dxa" w:w="2304"/>
            <w:shd w:fill="DCE6F1"/>
          </w:tcPr>
          <w:p>
            <w:r>
              <w:rPr>
                <w:b/>
                <w:sz w:val="14"/>
              </w:rPr>
              <w:t>Class</w:t>
            </w:r>
          </w:p>
        </w:tc>
        <w:tc>
          <w:tcPr>
            <w:tcW w:type="dxa" w:w="5472"/>
            <w:shd w:fill="DCE6F1"/>
          </w:tcPr>
          <w:p>
            <w:r>
              <w:rPr>
                <w:b/>
                <w:sz w:val="14"/>
              </w:rPr>
              <w:t>Treatment</w:t>
            </w:r>
          </w:p>
        </w:tc>
        <w:tc>
          <w:tcPr>
            <w:tcW w:type="dxa" w:w="2952"/>
            <w:shd w:fill="DCE6F1"/>
          </w:tcPr>
          <w:p>
            <w:r>
              <w:rPr>
                <w:b/>
                <w:sz w:val="14"/>
              </w:rPr>
              <w:t>Reviewer cue</w:t>
            </w:r>
          </w:p>
        </w:tc>
      </w:tr>
      <w:tr>
        <w:tc>
          <w:tcPr>
            <w:tcW w:type="dxa" w:w="2304"/>
          </w:tcPr>
          <w:p>
            <w:r>
              <w:rPr>
                <w:sz w:val="14"/>
              </w:rPr>
              <w:t>Principal / corpus</w:t>
            </w:r>
          </w:p>
        </w:tc>
        <w:tc>
          <w:tcPr>
            <w:tcW w:type="dxa" w:w="5472"/>
          </w:tcPr>
          <w:p>
            <w:r>
              <w:rPr>
                <w:sz w:val="14"/>
              </w:rPr>
              <w:t>Parcel, sale proceeds, carrying value, and reserve effects tracked as corpus-related pending instrument review</w:t>
            </w:r>
          </w:p>
        </w:tc>
        <w:tc>
          <w:tcPr>
            <w:tcW w:type="dxa" w:w="2952"/>
          </w:tcPr>
          <w:p>
            <w:r>
              <w:rPr>
                <w:sz w:val="14"/>
              </w:rPr>
              <w:t>No entitlement inference</w:t>
            </w:r>
          </w:p>
        </w:tc>
      </w:tr>
      <w:tr>
        <w:tc>
          <w:tcPr>
            <w:tcW w:type="dxa" w:w="2304"/>
          </w:tcPr>
          <w:p>
            <w:r>
              <w:rPr>
                <w:sz w:val="14"/>
              </w:rPr>
              <w:t>Fiduciary accounting income</w:t>
            </w:r>
          </w:p>
        </w:tc>
        <w:tc>
          <w:tcPr>
            <w:tcW w:type="dxa" w:w="5472"/>
          </w:tcPr>
          <w:p>
            <w:r>
              <w:rPr>
                <w:sz w:val="14"/>
              </w:rPr>
              <w:t>Only documented income and supported adjustment included; none quantified</w:t>
            </w:r>
          </w:p>
        </w:tc>
        <w:tc>
          <w:tcPr>
            <w:tcW w:type="dxa" w:w="2952"/>
          </w:tcPr>
          <w:p>
            <w:r>
              <w:rPr>
                <w:sz w:val="14"/>
              </w:rPr>
              <w:t>Election status must be confirmed</w:t>
            </w:r>
          </w:p>
        </w:tc>
      </w:tr>
      <w:tr>
        <w:tc>
          <w:tcPr>
            <w:tcW w:type="dxa" w:w="2304"/>
          </w:tcPr>
          <w:p>
            <w:r>
              <w:rPr>
                <w:sz w:val="14"/>
              </w:rPr>
              <w:t>Unrealized changes</w:t>
            </w:r>
          </w:p>
        </w:tc>
        <w:tc>
          <w:tcPr>
            <w:tcW w:type="dxa" w:w="5472"/>
          </w:tcPr>
          <w:p>
            <w:r>
              <w:rPr>
                <w:sz w:val="14"/>
              </w:rPr>
              <w:t>None reported</w:t>
            </w:r>
          </w:p>
        </w:tc>
        <w:tc>
          <w:tcPr>
            <w:tcW w:type="dxa" w:w="2952"/>
          </w:tcPr>
          <w:p>
            <w:r>
              <w:rPr>
                <w:sz w:val="14"/>
              </w:rPr>
              <w:t>No appraisal or fair-market-value conclusion</w:t>
            </w:r>
          </w:p>
        </w:tc>
      </w:tr>
    </w:tbl>
    <w:p>
      <w:pPr>
        <w:spacing w:after="60" w:line="240" w:lineRule="auto"/>
        <w:jc w:val="left"/>
      </w:pPr>
      <w:r>
        <w:rPr>
          <w:b w:val="0"/>
          <w:i w:val="0"/>
          <w:sz w:val="4"/>
        </w:rPr>
      </w:r>
    </w:p>
    <w:p>
      <w:r>
        <w:br w:type="page"/>
      </w:r>
    </w:p>
    <w:p>
      <w:pPr>
        <w:pStyle w:val="Heading1"/>
        <w:spacing w:before="100" w:after="40"/>
      </w:pPr>
      <w:r>
        <w:t>3. Receipts, disbursements, and distributions</w:t>
      </w:r>
    </w:p>
    <w:p>
      <w:pPr>
        <w:pStyle w:val="Heading2"/>
        <w:spacing w:before="100" w:after="40"/>
      </w:pPr>
      <w:r>
        <w:t>Schedule 1 — Receipts</w:t>
      </w:r>
    </w:p>
    <w:tbl>
      <w:tblPr>
        <w:tblW w:type="auto" w:w="0"/>
        <w:jc w:val="center"/>
        <w:tblLayout w:type="fixed"/>
        <w:tblLook w:firstColumn="1" w:firstRow="1" w:lastColumn="0" w:lastRow="0" w:noHBand="0" w:noVBand="1" w:val="04A0"/>
      </w:tblPr>
      <w:tblGrid>
        <w:gridCol w:w="2091"/>
        <w:gridCol w:w="2091"/>
        <w:gridCol w:w="2091"/>
        <w:gridCol w:w="2091"/>
        <w:gridCol w:w="2091"/>
      </w:tblGrid>
      <w:tr>
        <w:tc>
          <w:tcPr>
            <w:tcW w:type="dxa" w:w="1440"/>
            <w:shd w:fill="DCE6F1"/>
          </w:tcPr>
          <w:p>
            <w:r>
              <w:rPr>
                <w:b/>
                <w:sz w:val="13"/>
              </w:rPr>
              <w:t>Period/date</w:t>
            </w:r>
          </w:p>
        </w:tc>
        <w:tc>
          <w:tcPr>
            <w:tcW w:type="dxa" w:w="2232"/>
            <w:shd w:fill="DCE6F1"/>
          </w:tcPr>
          <w:p>
            <w:r>
              <w:rPr>
                <w:b/>
                <w:sz w:val="13"/>
              </w:rPr>
              <w:t>Source or payer</w:t>
            </w:r>
          </w:p>
        </w:tc>
        <w:tc>
          <w:tcPr>
            <w:tcW w:type="dxa" w:w="3888"/>
            <w:shd w:fill="DCE6F1"/>
          </w:tcPr>
          <w:p>
            <w:r>
              <w:rPr>
                <w:b/>
                <w:sz w:val="13"/>
              </w:rPr>
              <w:t>Description</w:t>
            </w:r>
          </w:p>
        </w:tc>
        <w:tc>
          <w:tcPr>
            <w:tcW w:type="dxa" w:w="1224"/>
            <w:shd w:fill="DCE6F1"/>
          </w:tcPr>
          <w:p>
            <w:r>
              <w:rPr>
                <w:b/>
                <w:sz w:val="13"/>
              </w:rPr>
              <w:t>Amount</w:t>
            </w:r>
          </w:p>
        </w:tc>
        <w:tc>
          <w:tcPr>
            <w:tcW w:type="dxa" w:w="2016"/>
            <w:shd w:fill="DCE6F1"/>
          </w:tcPr>
          <w:p>
            <w:r>
              <w:rPr>
                <w:b/>
                <w:sz w:val="13"/>
              </w:rPr>
              <w:t>Class / evidence</w:t>
            </w:r>
          </w:p>
        </w:tc>
      </w:tr>
      <w:tr>
        <w:tc>
          <w:tcPr>
            <w:tcW w:type="dxa" w:w="1440"/>
          </w:tcPr>
          <w:p>
            <w:r>
              <w:rPr>
                <w:sz w:val="13"/>
              </w:rPr>
              <w:t>March (exact date unavailable)</w:t>
            </w:r>
          </w:p>
        </w:tc>
        <w:tc>
          <w:tcPr>
            <w:tcW w:type="dxa" w:w="2232"/>
          </w:tcPr>
          <w:p>
            <w:r>
              <w:rPr>
                <w:sz w:val="13"/>
              </w:rPr>
              <w:t>Buyer/counterparty not supplied</w:t>
            </w:r>
          </w:p>
        </w:tc>
        <w:tc>
          <w:tcPr>
            <w:tcW w:type="dxa" w:w="3888"/>
          </w:tcPr>
          <w:p>
            <w:r>
              <w:rPr>
                <w:sz w:val="13"/>
              </w:rPr>
              <w:t>Gross farm-parcel consideration; closing statement required</w:t>
            </w:r>
          </w:p>
        </w:tc>
        <w:tc>
          <w:tcPr>
            <w:tcW w:type="dxa" w:w="1224"/>
          </w:tcPr>
          <w:p>
            <w:r>
              <w:rPr>
                <w:sz w:val="13"/>
              </w:rPr>
              <w:t>Unavailable</w:t>
            </w:r>
          </w:p>
        </w:tc>
        <w:tc>
          <w:tcPr>
            <w:tcW w:type="dxa" w:w="2016"/>
          </w:tcPr>
          <w:p>
            <w:r>
              <w:rPr>
                <w:sz w:val="13"/>
              </w:rPr>
              <w:t>Principal; realized proceeds, not valuation</w:t>
            </w:r>
          </w:p>
        </w:tc>
      </w:tr>
      <w:tr>
        <w:tc>
          <w:tcPr>
            <w:tcW w:type="dxa" w:w="1440"/>
          </w:tcPr>
          <w:p>
            <w:r>
              <w:rPr>
                <w:sz w:val="13"/>
              </w:rPr>
              <w:t>Period (dates unavailable)</w:t>
            </w:r>
          </w:p>
        </w:tc>
        <w:tc>
          <w:tcPr>
            <w:tcW w:type="dxa" w:w="2232"/>
          </w:tcPr>
          <w:p>
            <w:r>
              <w:rPr>
                <w:sz w:val="13"/>
              </w:rPr>
              <w:t>Unknown / not supplied</w:t>
            </w:r>
          </w:p>
        </w:tc>
        <w:tc>
          <w:tcPr>
            <w:tcW w:type="dxa" w:w="3888"/>
          </w:tcPr>
          <w:p>
            <w:r>
              <w:rPr>
                <w:sz w:val="13"/>
              </w:rPr>
              <w:t>Interest, rent, dividends, or other receipts</w:t>
            </w:r>
          </w:p>
        </w:tc>
        <w:tc>
          <w:tcPr>
            <w:tcW w:type="dxa" w:w="1224"/>
          </w:tcPr>
          <w:p>
            <w:r>
              <w:rPr>
                <w:sz w:val="13"/>
              </w:rPr>
              <w:t>Unavailable</w:t>
            </w:r>
          </w:p>
        </w:tc>
        <w:tc>
          <w:tcPr>
            <w:tcW w:type="dxa" w:w="2016"/>
          </w:tcPr>
          <w:p>
            <w:r>
              <w:rPr>
                <w:sz w:val="13"/>
              </w:rPr>
              <w:t>Classification needs source record</w:t>
            </w:r>
          </w:p>
        </w:tc>
      </w:tr>
      <w:tr>
        <w:tc>
          <w:tcPr>
            <w:tcW w:type="dxa" w:w="1440"/>
          </w:tcPr>
          <w:p>
            <w:r>
              <w:rPr>
                <w:sz w:val="13"/>
              </w:rPr>
              <w:t>Period (dates unavailable)</w:t>
            </w:r>
          </w:p>
        </w:tc>
        <w:tc>
          <w:tcPr>
            <w:tcW w:type="dxa" w:w="2232"/>
          </w:tcPr>
          <w:p>
            <w:r>
              <w:rPr>
                <w:sz w:val="13"/>
              </w:rPr>
              <w:t>Vantridge Utilities — role unconfirmed</w:t>
            </w:r>
          </w:p>
        </w:tc>
        <w:tc>
          <w:tcPr>
            <w:tcW w:type="dxa" w:w="3888"/>
          </w:tcPr>
          <w:p>
            <w:r>
              <w:rPr>
                <w:sz w:val="13"/>
              </w:rPr>
              <w:t>No receipt asserted; file history only</w:t>
            </w:r>
          </w:p>
        </w:tc>
        <w:tc>
          <w:tcPr>
            <w:tcW w:type="dxa" w:w="1224"/>
          </w:tcPr>
          <w:p>
            <w:r>
              <w:rPr>
                <w:sz w:val="13"/>
              </w:rPr>
              <w:t>N/A</w:t>
            </w:r>
          </w:p>
        </w:tc>
        <w:tc>
          <w:tcPr>
            <w:tcW w:type="dxa" w:w="2016"/>
          </w:tcPr>
          <w:p>
            <w:r>
              <w:rPr>
                <w:sz w:val="13"/>
              </w:rPr>
              <w:t>No supported transaction</w:t>
            </w:r>
          </w:p>
        </w:tc>
      </w:tr>
      <w:tr>
        <w:tc>
          <w:tcPr>
            <w:tcW w:type="dxa" w:w="1440"/>
          </w:tcPr>
          <w:p>
            <w:r>
              <w:rPr>
                <w:sz w:val="13"/>
              </w:rPr>
              <w:t>Period (dates unavailable)</w:t>
            </w:r>
          </w:p>
        </w:tc>
        <w:tc>
          <w:tcPr>
            <w:tcW w:type="dxa" w:w="2232"/>
          </w:tcPr>
          <w:p>
            <w:r>
              <w:rPr>
                <w:sz w:val="13"/>
              </w:rPr>
              <w:t>Quarryfield Analytics — role unconfirmed</w:t>
            </w:r>
          </w:p>
        </w:tc>
        <w:tc>
          <w:tcPr>
            <w:tcW w:type="dxa" w:w="3888"/>
          </w:tcPr>
          <w:p>
            <w:r>
              <w:rPr>
                <w:sz w:val="13"/>
              </w:rPr>
              <w:t>No receipt asserted; file history only</w:t>
            </w:r>
          </w:p>
        </w:tc>
        <w:tc>
          <w:tcPr>
            <w:tcW w:type="dxa" w:w="1224"/>
          </w:tcPr>
          <w:p>
            <w:r>
              <w:rPr>
                <w:sz w:val="13"/>
              </w:rPr>
              <w:t>N/A</w:t>
            </w:r>
          </w:p>
        </w:tc>
        <w:tc>
          <w:tcPr>
            <w:tcW w:type="dxa" w:w="2016"/>
          </w:tcPr>
          <w:p>
            <w:r>
              <w:rPr>
                <w:sz w:val="13"/>
              </w:rPr>
              <w:t>No supported transaction</w:t>
            </w:r>
          </w:p>
        </w:tc>
      </w:tr>
      <w:tr>
        <w:tc>
          <w:tcPr>
            <w:tcW w:type="dxa" w:w="1440"/>
          </w:tcPr>
          <w:p>
            <w:r>
              <w:rPr>
                <w:sz w:val="13"/>
              </w:rPr>
              <w:t>Total supported receipts</w:t>
            </w:r>
          </w:p>
        </w:tc>
        <w:tc>
          <w:tcPr>
            <w:tcW w:type="dxa" w:w="2232"/>
          </w:tcPr>
          <w:p>
            <w:r>
              <w:rPr>
                <w:sz w:val="13"/>
              </w:rPr>
              <w:t>—</w:t>
            </w:r>
          </w:p>
        </w:tc>
        <w:tc>
          <w:tcPr>
            <w:tcW w:type="dxa" w:w="3888"/>
          </w:tcPr>
          <w:p>
            <w:r>
              <w:rPr>
                <w:sz w:val="13"/>
              </w:rPr>
              <w:t>No numerical total from supplied records</w:t>
            </w:r>
          </w:p>
        </w:tc>
        <w:tc>
          <w:tcPr>
            <w:tcW w:type="dxa" w:w="1224"/>
          </w:tcPr>
          <w:p>
            <w:r>
              <w:rPr>
                <w:sz w:val="13"/>
              </w:rPr>
              <w:t>Pending</w:t>
            </w:r>
          </w:p>
        </w:tc>
        <w:tc>
          <w:tcPr>
            <w:tcW w:type="dxa" w:w="2016"/>
          </w:tcPr>
          <w:p>
            <w:r>
              <w:rPr>
                <w:sz w:val="13"/>
              </w:rPr>
              <w:t>Ledger and bank records required</w:t>
            </w:r>
          </w:p>
        </w:tc>
      </w:tr>
    </w:tbl>
    <w:p>
      <w:pPr>
        <w:spacing w:after="60" w:line="240" w:lineRule="auto"/>
        <w:jc w:val="left"/>
      </w:pPr>
      <w:r>
        <w:rPr>
          <w:b w:val="0"/>
          <w:i w:val="0"/>
          <w:sz w:val="4"/>
        </w:rPr>
      </w:r>
    </w:p>
    <w:p>
      <w:pPr>
        <w:pStyle w:val="Heading2"/>
        <w:spacing w:before="100" w:after="40"/>
      </w:pPr>
      <w:r>
        <w:t>Schedule 2 — Disbursements and distributions</w:t>
      </w:r>
    </w:p>
    <w:tbl>
      <w:tblPr>
        <w:tblW w:type="auto" w:w="0"/>
        <w:jc w:val="center"/>
        <w:tblLayout w:type="fixed"/>
        <w:tblLook w:firstColumn="1" w:firstRow="1" w:lastColumn="0" w:lastRow="0" w:noHBand="0" w:noVBand="1" w:val="04A0"/>
      </w:tblPr>
      <w:tblGrid>
        <w:gridCol w:w="2091"/>
        <w:gridCol w:w="2091"/>
        <w:gridCol w:w="2091"/>
        <w:gridCol w:w="2091"/>
        <w:gridCol w:w="2091"/>
      </w:tblGrid>
      <w:tr>
        <w:tc>
          <w:tcPr>
            <w:tcW w:type="dxa" w:w="1440"/>
            <w:shd w:fill="DCE6F1"/>
          </w:tcPr>
          <w:p>
            <w:r>
              <w:rPr>
                <w:b/>
                <w:sz w:val="13"/>
              </w:rPr>
              <w:t>Period/date</w:t>
            </w:r>
          </w:p>
        </w:tc>
        <w:tc>
          <w:tcPr>
            <w:tcW w:type="dxa" w:w="2232"/>
            <w:shd w:fill="DCE6F1"/>
          </w:tcPr>
          <w:p>
            <w:r>
              <w:rPr>
                <w:b/>
                <w:sz w:val="13"/>
              </w:rPr>
              <w:t>Payee / recipient</w:t>
            </w:r>
          </w:p>
        </w:tc>
        <w:tc>
          <w:tcPr>
            <w:tcW w:type="dxa" w:w="3888"/>
            <w:shd w:fill="DCE6F1"/>
          </w:tcPr>
          <w:p>
            <w:r>
              <w:rPr>
                <w:b/>
                <w:sz w:val="13"/>
              </w:rPr>
              <w:t>Purpose</w:t>
            </w:r>
          </w:p>
        </w:tc>
        <w:tc>
          <w:tcPr>
            <w:tcW w:type="dxa" w:w="1224"/>
            <w:shd w:fill="DCE6F1"/>
          </w:tcPr>
          <w:p>
            <w:r>
              <w:rPr>
                <w:b/>
                <w:sz w:val="13"/>
              </w:rPr>
              <w:t>Amount</w:t>
            </w:r>
          </w:p>
        </w:tc>
        <w:tc>
          <w:tcPr>
            <w:tcW w:type="dxa" w:w="2016"/>
            <w:shd w:fill="DCE6F1"/>
          </w:tcPr>
          <w:p>
            <w:r>
              <w:rPr>
                <w:b/>
                <w:sz w:val="13"/>
              </w:rPr>
              <w:t>Treatment</w:t>
            </w:r>
          </w:p>
        </w:tc>
      </w:tr>
      <w:tr>
        <w:tc>
          <w:tcPr>
            <w:tcW w:type="dxa" w:w="1440"/>
          </w:tcPr>
          <w:p>
            <w:r>
              <w:rPr>
                <w:sz w:val="13"/>
              </w:rPr>
              <w:t>March (exact date unavailable)</w:t>
            </w:r>
          </w:p>
        </w:tc>
        <w:tc>
          <w:tcPr>
            <w:tcW w:type="dxa" w:w="2232"/>
          </w:tcPr>
          <w:p>
            <w:r>
              <w:rPr>
                <w:sz w:val="13"/>
              </w:rPr>
              <w:t>Closing parties not supplied</w:t>
            </w:r>
          </w:p>
        </w:tc>
        <w:tc>
          <w:tcPr>
            <w:tcW w:type="dxa" w:w="3888"/>
          </w:tcPr>
          <w:p>
            <w:r>
              <w:rPr>
                <w:sz w:val="13"/>
              </w:rPr>
              <w:t>Brokerage, legal, recording, transfer, or other sale costs</w:t>
            </w:r>
          </w:p>
        </w:tc>
        <w:tc>
          <w:tcPr>
            <w:tcW w:type="dxa" w:w="1224"/>
          </w:tcPr>
          <w:p>
            <w:r>
              <w:rPr>
                <w:sz w:val="13"/>
              </w:rPr>
              <w:t>Unavailable</w:t>
            </w:r>
          </w:p>
        </w:tc>
        <w:tc>
          <w:tcPr>
            <w:tcW w:type="dxa" w:w="2016"/>
          </w:tcPr>
          <w:p>
            <w:r>
              <w:rPr>
                <w:sz w:val="13"/>
              </w:rPr>
              <w:t>Property-disposition cost; principal pending records</w:t>
            </w:r>
          </w:p>
        </w:tc>
      </w:tr>
      <w:tr>
        <w:tc>
          <w:tcPr>
            <w:tcW w:type="dxa" w:w="1440"/>
          </w:tcPr>
          <w:p>
            <w:r>
              <w:rPr>
                <w:sz w:val="13"/>
              </w:rPr>
              <w:t>Period (dates unavailable)</w:t>
            </w:r>
          </w:p>
        </w:tc>
        <w:tc>
          <w:tcPr>
            <w:tcW w:type="dxa" w:w="2232"/>
          </w:tcPr>
          <w:p>
            <w:r>
              <w:rPr>
                <w:sz w:val="13"/>
              </w:rPr>
              <w:t>Third-party providers not supplied</w:t>
            </w:r>
          </w:p>
        </w:tc>
        <w:tc>
          <w:tcPr>
            <w:tcW w:type="dxa" w:w="3888"/>
          </w:tcPr>
          <w:p>
            <w:r>
              <w:rPr>
                <w:sz w:val="13"/>
              </w:rPr>
              <w:t>Administration, preservation, or ordinary trust expense</w:t>
            </w:r>
          </w:p>
        </w:tc>
        <w:tc>
          <w:tcPr>
            <w:tcW w:type="dxa" w:w="1224"/>
          </w:tcPr>
          <w:p>
            <w:r>
              <w:rPr>
                <w:sz w:val="13"/>
              </w:rPr>
              <w:t>Unavailable</w:t>
            </w:r>
          </w:p>
        </w:tc>
        <w:tc>
          <w:tcPr>
            <w:tcW w:type="dxa" w:w="2016"/>
          </w:tcPr>
          <w:p>
            <w:r>
              <w:rPr>
                <w:sz w:val="13"/>
              </w:rPr>
              <w:t>Income/principal pending records</w:t>
            </w:r>
          </w:p>
        </w:tc>
      </w:tr>
      <w:tr>
        <w:tc>
          <w:tcPr>
            <w:tcW w:type="dxa" w:w="1440"/>
          </w:tcPr>
          <w:p>
            <w:r>
              <w:rPr>
                <w:sz w:val="13"/>
              </w:rPr>
              <w:t>Period (dates unavailable)</w:t>
            </w:r>
          </w:p>
        </w:tc>
        <w:tc>
          <w:tcPr>
            <w:tcW w:type="dxa" w:w="2232"/>
          </w:tcPr>
          <w:p>
            <w:r>
              <w:rPr>
                <w:sz w:val="13"/>
              </w:rPr>
              <w:t>Cecile Ntumba</w:t>
            </w:r>
          </w:p>
        </w:tc>
        <w:tc>
          <w:tcPr>
            <w:tcW w:type="dxa" w:w="3888"/>
          </w:tcPr>
          <w:p>
            <w:r>
              <w:rPr>
                <w:sz w:val="13"/>
              </w:rPr>
              <w:t>Trustee compensation or reimbursed expense</w:t>
            </w:r>
          </w:p>
        </w:tc>
        <w:tc>
          <w:tcPr>
            <w:tcW w:type="dxa" w:w="1224"/>
          </w:tcPr>
          <w:p>
            <w:r>
              <w:rPr>
                <w:sz w:val="13"/>
              </w:rPr>
              <w:t>Unavailable</w:t>
            </w:r>
          </w:p>
        </w:tc>
        <w:tc>
          <w:tcPr>
            <w:tcW w:type="dxa" w:w="2016"/>
          </w:tcPr>
          <w:p>
            <w:r>
              <w:rPr>
                <w:sz w:val="13"/>
              </w:rPr>
              <w:t>Separate fiduciary compensation line; vouchers required</w:t>
            </w:r>
          </w:p>
        </w:tc>
      </w:tr>
      <w:tr>
        <w:tc>
          <w:tcPr>
            <w:tcW w:type="dxa" w:w="1440"/>
          </w:tcPr>
          <w:p>
            <w:r>
              <w:rPr>
                <w:sz w:val="13"/>
              </w:rPr>
              <w:t>Period (dates unavailable)</w:t>
            </w:r>
          </w:p>
        </w:tc>
        <w:tc>
          <w:tcPr>
            <w:tcW w:type="dxa" w:w="2232"/>
          </w:tcPr>
          <w:p>
            <w:r>
              <w:rPr>
                <w:sz w:val="13"/>
              </w:rPr>
              <w:t>Income beneficiary(ies) not identified</w:t>
            </w:r>
          </w:p>
        </w:tc>
        <w:tc>
          <w:tcPr>
            <w:tcW w:type="dxa" w:w="3888"/>
          </w:tcPr>
          <w:p>
            <w:r>
              <w:rPr>
                <w:sz w:val="13"/>
              </w:rPr>
              <w:t>Beneficiary distribution</w:t>
            </w:r>
          </w:p>
        </w:tc>
        <w:tc>
          <w:tcPr>
            <w:tcW w:type="dxa" w:w="1224"/>
          </w:tcPr>
          <w:p>
            <w:r>
              <w:rPr>
                <w:sz w:val="13"/>
              </w:rPr>
              <w:t>Unavailable</w:t>
            </w:r>
          </w:p>
        </w:tc>
        <w:tc>
          <w:tcPr>
            <w:tcW w:type="dxa" w:w="2016"/>
          </w:tcPr>
          <w:p>
            <w:r>
              <w:rPr>
                <w:sz w:val="13"/>
              </w:rPr>
              <w:t>Income/principal and election treatment pending</w:t>
            </w:r>
          </w:p>
        </w:tc>
      </w:tr>
      <w:tr>
        <w:tc>
          <w:tcPr>
            <w:tcW w:type="dxa" w:w="1440"/>
          </w:tcPr>
          <w:p>
            <w:r>
              <w:rPr>
                <w:sz w:val="13"/>
              </w:rPr>
              <w:t>Period (dates unavailable)</w:t>
            </w:r>
          </w:p>
        </w:tc>
        <w:tc>
          <w:tcPr>
            <w:tcW w:type="dxa" w:w="2232"/>
          </w:tcPr>
          <w:p>
            <w:r>
              <w:rPr>
                <w:sz w:val="13"/>
              </w:rPr>
              <w:t>Remainder beneficiary(ies) not identified</w:t>
            </w:r>
          </w:p>
        </w:tc>
        <w:tc>
          <w:tcPr>
            <w:tcW w:type="dxa" w:w="3888"/>
          </w:tcPr>
          <w:p>
            <w:r>
              <w:rPr>
                <w:sz w:val="13"/>
              </w:rPr>
              <w:t>Beneficiary distribution</w:t>
            </w:r>
          </w:p>
        </w:tc>
        <w:tc>
          <w:tcPr>
            <w:tcW w:type="dxa" w:w="1224"/>
          </w:tcPr>
          <w:p>
            <w:r>
              <w:rPr>
                <w:sz w:val="13"/>
              </w:rPr>
              <w:t>Unavailable</w:t>
            </w:r>
          </w:p>
        </w:tc>
        <w:tc>
          <w:tcPr>
            <w:tcW w:type="dxa" w:w="2016"/>
          </w:tcPr>
          <w:p>
            <w:r>
              <w:rPr>
                <w:sz w:val="13"/>
              </w:rPr>
              <w:t>No entitlement conclusion</w:t>
            </w:r>
          </w:p>
        </w:tc>
      </w:tr>
      <w:tr>
        <w:tc>
          <w:tcPr>
            <w:tcW w:type="dxa" w:w="1440"/>
          </w:tcPr>
          <w:p>
            <w:r>
              <w:rPr>
                <w:sz w:val="13"/>
              </w:rPr>
              <w:t>Total payments/distributions</w:t>
            </w:r>
          </w:p>
        </w:tc>
        <w:tc>
          <w:tcPr>
            <w:tcW w:type="dxa" w:w="2232"/>
          </w:tcPr>
          <w:p>
            <w:r>
              <w:rPr>
                <w:sz w:val="13"/>
              </w:rPr>
              <w:t>—</w:t>
            </w:r>
          </w:p>
        </w:tc>
        <w:tc>
          <w:tcPr>
            <w:tcW w:type="dxa" w:w="3888"/>
          </w:tcPr>
          <w:p>
            <w:r>
              <w:rPr>
                <w:sz w:val="13"/>
              </w:rPr>
              <w:t>No numerical total from supplied records</w:t>
            </w:r>
          </w:p>
        </w:tc>
        <w:tc>
          <w:tcPr>
            <w:tcW w:type="dxa" w:w="1224"/>
          </w:tcPr>
          <w:p>
            <w:r>
              <w:rPr>
                <w:sz w:val="13"/>
              </w:rPr>
              <w:t>Pending</w:t>
            </w:r>
          </w:p>
        </w:tc>
        <w:tc>
          <w:tcPr>
            <w:tcW w:type="dxa" w:w="2016"/>
          </w:tcPr>
          <w:p>
            <w:r>
              <w:rPr>
                <w:sz w:val="13"/>
              </w:rPr>
              <w:t>Do not net against reserve</w:t>
            </w:r>
          </w:p>
        </w:tc>
      </w:tr>
    </w:tbl>
    <w:p>
      <w:pPr>
        <w:spacing w:after="60" w:line="240" w:lineRule="auto"/>
        <w:jc w:val="left"/>
      </w:pPr>
      <w:r>
        <w:rPr>
          <w:b w:val="0"/>
          <w:i w:val="0"/>
          <w:sz w:val="4"/>
        </w:rPr>
      </w:r>
    </w:p>
    <w:p>
      <w:pPr>
        <w:spacing w:after="60" w:line="240" w:lineRule="auto"/>
        <w:jc w:val="left"/>
      </w:pPr>
      <w:r>
        <w:rPr>
          <w:b w:val="0"/>
          <w:i/>
          <w:sz w:val="15"/>
        </w:rPr>
        <w:t>Property-preservation and disposition payments are not beneficiary distributions. Sale costs, third-party expenses, trustee compensation/reimbursements, and beneficiary transfers are deliberately separate.</w:t>
      </w:r>
    </w:p>
    <w:p>
      <w:r>
        <w:br w:type="page"/>
      </w:r>
    </w:p>
    <w:p>
      <w:pPr>
        <w:pStyle w:val="Heading1"/>
        <w:spacing w:before="100" w:after="40"/>
      </w:pPr>
      <w:r>
        <w:t>4. Farm-parcel disposition and reserve</w:t>
      </w:r>
    </w:p>
    <w:p>
      <w:pPr>
        <w:pStyle w:val="Heading2"/>
        <w:spacing w:before="100" w:after="40"/>
      </w:pPr>
      <w:r>
        <w:t>Schedule 3 — March farm-parcel sale bridge</w:t>
      </w:r>
    </w:p>
    <w:tbl>
      <w:tblPr>
        <w:tblW w:type="auto" w:w="0"/>
        <w:jc w:val="center"/>
        <w:tblLayout w:type="fixed"/>
        <w:tblLook w:firstColumn="1" w:firstRow="1" w:lastColumn="0" w:lastRow="0" w:noHBand="0" w:noVBand="1" w:val="04A0"/>
      </w:tblPr>
      <w:tblGrid>
        <w:gridCol w:w="3485"/>
        <w:gridCol w:w="3485"/>
        <w:gridCol w:w="3485"/>
      </w:tblGrid>
      <w:tr>
        <w:tc>
          <w:tcPr>
            <w:tcW w:type="dxa" w:w="3168"/>
            <w:shd w:fill="DCE6F1"/>
          </w:tcPr>
          <w:p>
            <w:r>
              <w:rPr>
                <w:b/>
                <w:sz w:val="14"/>
              </w:rPr>
              <w:t>Component</w:t>
            </w:r>
          </w:p>
        </w:tc>
        <w:tc>
          <w:tcPr>
            <w:tcW w:type="dxa" w:w="3888"/>
            <w:shd w:fill="DCE6F1"/>
          </w:tcPr>
          <w:p>
            <w:r>
              <w:rPr>
                <w:b/>
                <w:sz w:val="14"/>
              </w:rPr>
              <w:t>Amount / status</w:t>
            </w:r>
          </w:p>
        </w:tc>
        <w:tc>
          <w:tcPr>
            <w:tcW w:type="dxa" w:w="3744"/>
            <w:shd w:fill="DCE6F1"/>
          </w:tcPr>
          <w:p>
            <w:r>
              <w:rPr>
                <w:b/>
                <w:sz w:val="14"/>
              </w:rPr>
              <w:t>Accounting consequence</w:t>
            </w:r>
          </w:p>
        </w:tc>
      </w:tr>
      <w:tr>
        <w:tc>
          <w:tcPr>
            <w:tcW w:type="dxa" w:w="3168"/>
          </w:tcPr>
          <w:p>
            <w:r>
              <w:rPr>
                <w:sz w:val="14"/>
              </w:rPr>
              <w:t>Farm parcel held before sale</w:t>
            </w:r>
          </w:p>
        </w:tc>
        <w:tc>
          <w:tcPr>
            <w:tcW w:type="dxa" w:w="3888"/>
          </w:tcPr>
          <w:p>
            <w:r>
              <w:rPr>
                <w:sz w:val="14"/>
              </w:rPr>
              <w:t>Unavailable—inventory and carrying-value record required</w:t>
            </w:r>
          </w:p>
        </w:tc>
        <w:tc>
          <w:tcPr>
            <w:tcW w:type="dxa" w:w="3744"/>
          </w:tcPr>
          <w:p>
            <w:r>
              <w:rPr>
                <w:sz w:val="14"/>
              </w:rPr>
              <w:t>Trust asset before disposition</w:t>
            </w:r>
          </w:p>
        </w:tc>
      </w:tr>
      <w:tr>
        <w:tc>
          <w:tcPr>
            <w:tcW w:type="dxa" w:w="3168"/>
          </w:tcPr>
          <w:p>
            <w:r>
              <w:rPr>
                <w:sz w:val="14"/>
              </w:rPr>
              <w:t>Sale date</w:t>
            </w:r>
          </w:p>
        </w:tc>
        <w:tc>
          <w:tcPr>
            <w:tcW w:type="dxa" w:w="3888"/>
          </w:tcPr>
          <w:p>
            <w:r>
              <w:rPr>
                <w:sz w:val="14"/>
              </w:rPr>
              <w:t>March; exact date unavailable</w:t>
            </w:r>
          </w:p>
        </w:tc>
        <w:tc>
          <w:tcPr>
            <w:tcW w:type="dxa" w:w="3744"/>
          </w:tcPr>
          <w:p>
            <w:r>
              <w:rPr>
                <w:sz w:val="14"/>
              </w:rPr>
              <w:t>Placed in this accounting period</w:t>
            </w:r>
          </w:p>
        </w:tc>
      </w:tr>
      <w:tr>
        <w:tc>
          <w:tcPr>
            <w:tcW w:type="dxa" w:w="3168"/>
          </w:tcPr>
          <w:p>
            <w:r>
              <w:rPr>
                <w:sz w:val="14"/>
              </w:rPr>
              <w:t>Buyer / counterparty</w:t>
            </w:r>
          </w:p>
        </w:tc>
        <w:tc>
          <w:tcPr>
            <w:tcW w:type="dxa" w:w="3888"/>
          </w:tcPr>
          <w:p>
            <w:r>
              <w:rPr>
                <w:sz w:val="14"/>
              </w:rPr>
              <w:t>Not supplied</w:t>
            </w:r>
          </w:p>
        </w:tc>
        <w:tc>
          <w:tcPr>
            <w:tcW w:type="dxa" w:w="3744"/>
          </w:tcPr>
          <w:p>
            <w:r>
              <w:rPr>
                <w:sz w:val="14"/>
              </w:rPr>
              <w:t>No identity asserted</w:t>
            </w:r>
          </w:p>
        </w:tc>
      </w:tr>
      <w:tr>
        <w:tc>
          <w:tcPr>
            <w:tcW w:type="dxa" w:w="3168"/>
          </w:tcPr>
          <w:p>
            <w:r>
              <w:rPr>
                <w:sz w:val="14"/>
              </w:rPr>
              <w:t>Gross consideration</w:t>
            </w:r>
          </w:p>
        </w:tc>
        <w:tc>
          <w:tcPr>
            <w:tcW w:type="dxa" w:w="3888"/>
          </w:tcPr>
          <w:p>
            <w:r>
              <w:rPr>
                <w:sz w:val="14"/>
              </w:rPr>
              <w:t>Unavailable—executed closing statement required</w:t>
            </w:r>
          </w:p>
        </w:tc>
        <w:tc>
          <w:tcPr>
            <w:tcW w:type="dxa" w:w="3744"/>
          </w:tcPr>
          <w:p>
            <w:r>
              <w:rPr>
                <w:sz w:val="14"/>
              </w:rPr>
              <w:t>Realized proceeds; not unrealized valuation</w:t>
            </w:r>
          </w:p>
        </w:tc>
      </w:tr>
      <w:tr>
        <w:tc>
          <w:tcPr>
            <w:tcW w:type="dxa" w:w="3168"/>
          </w:tcPr>
          <w:p>
            <w:r>
              <w:rPr>
                <w:sz w:val="14"/>
              </w:rPr>
              <w:t>Costs of sale</w:t>
            </w:r>
          </w:p>
        </w:tc>
        <w:tc>
          <w:tcPr>
            <w:tcW w:type="dxa" w:w="3888"/>
          </w:tcPr>
          <w:p>
            <w:r>
              <w:rPr>
                <w:sz w:val="14"/>
              </w:rPr>
              <w:t>Unavailable—closing statement/invoices required</w:t>
            </w:r>
          </w:p>
        </w:tc>
        <w:tc>
          <w:tcPr>
            <w:tcW w:type="dxa" w:w="3744"/>
          </w:tcPr>
          <w:p>
            <w:r>
              <w:rPr>
                <w:sz w:val="14"/>
              </w:rPr>
              <w:t>Reduce net proceeds when supported</w:t>
            </w:r>
          </w:p>
        </w:tc>
      </w:tr>
      <w:tr>
        <w:tc>
          <w:tcPr>
            <w:tcW w:type="dxa" w:w="3168"/>
          </w:tcPr>
          <w:p>
            <w:r>
              <w:rPr>
                <w:sz w:val="14"/>
              </w:rPr>
              <w:t>Net proceeds</w:t>
            </w:r>
          </w:p>
        </w:tc>
        <w:tc>
          <w:tcPr>
            <w:tcW w:type="dxa" w:w="3888"/>
          </w:tcPr>
          <w:p>
            <w:r>
              <w:rPr>
                <w:sz w:val="14"/>
              </w:rPr>
              <w:t>Unavailable (gross less supported costs)</w:t>
            </w:r>
          </w:p>
        </w:tc>
        <w:tc>
          <w:tcPr>
            <w:tcW w:type="dxa" w:w="3744"/>
          </w:tcPr>
          <w:p>
            <w:r>
              <w:rPr>
                <w:sz w:val="14"/>
              </w:rPr>
              <w:t>Cash or receivable cannot be stated</w:t>
            </w:r>
          </w:p>
        </w:tc>
      </w:tr>
      <w:tr>
        <w:tc>
          <w:tcPr>
            <w:tcW w:type="dxa" w:w="3168"/>
          </w:tcPr>
          <w:p>
            <w:r>
              <w:rPr>
                <w:sz w:val="14"/>
              </w:rPr>
              <w:t>Carrying value before sale</w:t>
            </w:r>
          </w:p>
        </w:tc>
        <w:tc>
          <w:tcPr>
            <w:tcW w:type="dxa" w:w="3888"/>
          </w:tcPr>
          <w:p>
            <w:r>
              <w:rPr>
                <w:sz w:val="14"/>
              </w:rPr>
              <w:t>Unavailable—cost/basis ledger required</w:t>
            </w:r>
          </w:p>
        </w:tc>
        <w:tc>
          <w:tcPr>
            <w:tcW w:type="dxa" w:w="3744"/>
          </w:tcPr>
          <w:p>
            <w:r>
              <w:rPr>
                <w:sz w:val="14"/>
              </w:rPr>
              <w:t>Needed for gain/loss</w:t>
            </w:r>
          </w:p>
        </w:tc>
      </w:tr>
      <w:tr>
        <w:tc>
          <w:tcPr>
            <w:tcW w:type="dxa" w:w="3168"/>
          </w:tcPr>
          <w:p>
            <w:r>
              <w:rPr>
                <w:sz w:val="14"/>
              </w:rPr>
              <w:t>Accumulated depreciation / reserve</w:t>
            </w:r>
          </w:p>
        </w:tc>
        <w:tc>
          <w:tcPr>
            <w:tcW w:type="dxa" w:w="3888"/>
          </w:tcPr>
          <w:p>
            <w:r>
              <w:rPr>
                <w:sz w:val="14"/>
              </w:rPr>
              <w:t>Unavailable—reserve ledger required</w:t>
            </w:r>
          </w:p>
        </w:tc>
        <w:tc>
          <w:tcPr>
            <w:tcW w:type="dxa" w:w="3744"/>
          </w:tcPr>
          <w:p>
            <w:r>
              <w:rPr>
                <w:sz w:val="14"/>
              </w:rPr>
              <w:t>Contra-asset; clearance is non-cash</w:t>
            </w:r>
          </w:p>
        </w:tc>
      </w:tr>
      <w:tr>
        <w:tc>
          <w:tcPr>
            <w:tcW w:type="dxa" w:w="3168"/>
          </w:tcPr>
          <w:p>
            <w:r>
              <w:rPr>
                <w:sz w:val="14"/>
              </w:rPr>
              <w:t>Gain or loss</w:t>
            </w:r>
          </w:p>
        </w:tc>
        <w:tc>
          <w:tcPr>
            <w:tcW w:type="dxa" w:w="3888"/>
          </w:tcPr>
          <w:p>
            <w:r>
              <w:rPr>
                <w:sz w:val="14"/>
              </w:rPr>
              <w:t>Withheld pending evidence</w:t>
            </w:r>
          </w:p>
        </w:tc>
        <w:tc>
          <w:tcPr>
            <w:tcW w:type="dxa" w:w="3744"/>
          </w:tcPr>
          <w:p>
            <w:r>
              <w:rPr>
                <w:sz w:val="14"/>
              </w:rPr>
              <w:t>Net proceeds less carrying value; no conclusion</w:t>
            </w:r>
          </w:p>
        </w:tc>
      </w:tr>
      <w:tr>
        <w:tc>
          <w:tcPr>
            <w:tcW w:type="dxa" w:w="3168"/>
          </w:tcPr>
          <w:p>
            <w:r>
              <w:rPr>
                <w:sz w:val="14"/>
              </w:rPr>
              <w:t>Post-sale status</w:t>
            </w:r>
          </w:p>
        </w:tc>
        <w:tc>
          <w:tcPr>
            <w:tcW w:type="dxa" w:w="3888"/>
          </w:tcPr>
          <w:p>
            <w:r>
              <w:rPr>
                <w:sz w:val="14"/>
              </w:rPr>
              <w:t>Unknown: held, invested, distributed, or receivable</w:t>
            </w:r>
          </w:p>
        </w:tc>
        <w:tc>
          <w:tcPr>
            <w:tcW w:type="dxa" w:w="3744"/>
          </w:tcPr>
          <w:p>
            <w:r>
              <w:rPr>
                <w:sz w:val="14"/>
              </w:rPr>
              <w:t>Bank/investment records and trustee report required</w:t>
            </w:r>
          </w:p>
        </w:tc>
      </w:tr>
    </w:tbl>
    <w:p>
      <w:pPr>
        <w:spacing w:after="60" w:line="240" w:lineRule="auto"/>
        <w:jc w:val="left"/>
      </w:pPr>
      <w:r>
        <w:rPr>
          <w:b w:val="0"/>
          <w:i w:val="0"/>
          <w:sz w:val="4"/>
        </w:rPr>
      </w:r>
    </w:p>
    <w:p>
      <w:pPr>
        <w:pStyle w:val="Heading2"/>
        <w:spacing w:before="100" w:after="40"/>
      </w:pPr>
      <w:r>
        <w:t>Depreciation reserve and valuation boundary</w:t>
      </w:r>
    </w:p>
    <w:p>
      <w:pPr>
        <w:spacing w:after="60" w:line="240" w:lineRule="auto"/>
        <w:jc w:val="left"/>
      </w:pPr>
      <w:r>
        <w:rPr>
          <w:b w:val="0"/>
          <w:i w:val="0"/>
        </w:rPr>
        <w:t>The depreciation reserve is an accumulated non-cash contra-asset associated with the parcel. It is not cash and is not available for distribution merely because the parcel was sold. On disposal it is cleared or reclassified against carrying value; the amount and exact presentation remain pending the reserve ledger. Reserve clearance changes book presentation and gain/loss computation—it does not create a second receipt or add cash to net proceeds.</w:t>
      </w:r>
    </w:p>
    <w:p>
      <w:pPr>
        <w:spacing w:after="60" w:line="240" w:lineRule="auto"/>
        <w:jc w:val="left"/>
      </w:pPr>
      <w:r>
        <w:rPr>
          <w:b w:val="0"/>
          <w:i w:val="0"/>
        </w:rPr>
        <w:t>Gain/loss is withheld because consideration, costs, cost basis, and accumulated depreciation are unavailable. Quarryfield Analytics is not treated as an appraiser. No accountant-created amount is fair market value. Tax basis, tax gain/loss, and tax consequences require a tax adviser and records.</w:t>
      </w:r>
    </w:p>
    <w:p>
      <w:r>
        <w:br w:type="page"/>
      </w:r>
    </w:p>
    <w:p>
      <w:pPr>
        <w:pStyle w:val="Heading1"/>
        <w:spacing w:before="100" w:after="40"/>
      </w:pPr>
      <w:r>
        <w:t>5. Principal/income and power-to-adjust analysis</w:t>
      </w:r>
    </w:p>
    <w:p>
      <w:pPr>
        <w:pStyle w:val="Heading2"/>
        <w:spacing w:before="100" w:after="40"/>
      </w:pPr>
      <w:r>
        <w:t>Integrated allocation note</w:t>
      </w:r>
    </w:p>
    <w:p>
      <w:pPr>
        <w:spacing w:after="60" w:line="240" w:lineRule="auto"/>
        <w:jc w:val="left"/>
      </w:pPr>
      <w:r>
        <w:rPr>
          <w:b w:val="0"/>
          <w:i w:val="0"/>
        </w:rPr>
        <w:t>March proceeds are presented first as realized proceeds of a principal asset. The reserve is a non-cash contra-asset cleared or reclassified on disposal, not distributable cash. Supported sale costs reduce net proceeds. Whether proceeds, reserve-related effects, or other receipts are allocated between principal and fiduciary accounting income depends on the governing instrument, applicable law, and a documented trustee decision.</w:t>
      </w:r>
    </w:p>
    <w:tbl>
      <w:tblPr>
        <w:tblW w:type="auto" w:w="0"/>
        <w:jc w:val="center"/>
        <w:tblLayout w:type="fixed"/>
        <w:tblLook w:firstColumn="1" w:firstRow="1" w:lastColumn="0" w:lastRow="0" w:noHBand="0" w:noVBand="1" w:val="04A0"/>
      </w:tblPr>
      <w:tblGrid>
        <w:gridCol w:w="3485"/>
        <w:gridCol w:w="3485"/>
        <w:gridCol w:w="3485"/>
      </w:tblGrid>
      <w:tr>
        <w:tc>
          <w:tcPr>
            <w:tcW w:type="dxa" w:w="2376"/>
            <w:shd w:fill="DCE6F1"/>
          </w:tcPr>
          <w:p>
            <w:r>
              <w:rPr>
                <w:b/>
                <w:sz w:val="14"/>
              </w:rPr>
              <w:t>Question</w:t>
            </w:r>
          </w:p>
        </w:tc>
        <w:tc>
          <w:tcPr>
            <w:tcW w:type="dxa" w:w="3744"/>
            <w:shd w:fill="DCE6F1"/>
          </w:tcPr>
          <w:p>
            <w:r>
              <w:rPr>
                <w:b/>
                <w:sz w:val="14"/>
              </w:rPr>
              <w:t>Supplied-record status</w:t>
            </w:r>
          </w:p>
        </w:tc>
        <w:tc>
          <w:tcPr>
            <w:tcW w:type="dxa" w:w="4680"/>
            <w:shd w:fill="DCE6F1"/>
          </w:tcPr>
          <w:p>
            <w:r>
              <w:rPr>
                <w:b/>
                <w:sz w:val="14"/>
              </w:rPr>
              <w:t>Accounting presentation</w:t>
            </w:r>
          </w:p>
        </w:tc>
      </w:tr>
      <w:tr>
        <w:tc>
          <w:tcPr>
            <w:tcW w:type="dxa" w:w="2376"/>
          </w:tcPr>
          <w:p>
            <w:r>
              <w:rPr>
                <w:sz w:val="14"/>
              </w:rPr>
              <w:t>Power-to-adjust election exercised?</w:t>
            </w:r>
          </w:p>
        </w:tc>
        <w:tc>
          <w:tcPr>
            <w:tcW w:type="dxa" w:w="3744"/>
          </w:tcPr>
          <w:p>
            <w:r>
              <w:rPr>
                <w:sz w:val="14"/>
              </w:rPr>
              <w:t>Unknown—no election notice, trustee report, or effective-date record</w:t>
            </w:r>
          </w:p>
        </w:tc>
        <w:tc>
          <w:tcPr>
            <w:tcW w:type="dxa" w:w="4680"/>
          </w:tcPr>
          <w:p>
            <w:r>
              <w:rPr>
                <w:sz w:val="14"/>
              </w:rPr>
              <w:t>No assumed exercise or non-exercise</w:t>
            </w:r>
          </w:p>
        </w:tc>
      </w:tr>
      <w:tr>
        <w:tc>
          <w:tcPr>
            <w:tcW w:type="dxa" w:w="2376"/>
          </w:tcPr>
          <w:p>
            <w:r>
              <w:rPr>
                <w:sz w:val="14"/>
              </w:rPr>
              <w:t>Effective period</w:t>
            </w:r>
          </w:p>
        </w:tc>
        <w:tc>
          <w:tcPr>
            <w:tcW w:type="dxa" w:w="3744"/>
          </w:tcPr>
          <w:p>
            <w:r>
              <w:rPr>
                <w:sz w:val="14"/>
              </w:rPr>
              <w:t>Unknown</w:t>
            </w:r>
          </w:p>
        </w:tc>
        <w:tc>
          <w:tcPr>
            <w:tcW w:type="dxa" w:w="4680"/>
          </w:tcPr>
          <w:p>
            <w:r>
              <w:rPr>
                <w:sz w:val="14"/>
              </w:rPr>
              <w:t>Cannot assign adjustment to March sale</w:t>
            </w:r>
          </w:p>
        </w:tc>
      </w:tr>
      <w:tr>
        <w:tc>
          <w:tcPr>
            <w:tcW w:type="dxa" w:w="2376"/>
          </w:tcPr>
          <w:p>
            <w:r>
              <w:rPr>
                <w:sz w:val="14"/>
              </w:rPr>
              <w:t>Categories affected</w:t>
            </w:r>
          </w:p>
        </w:tc>
        <w:tc>
          <w:tcPr>
            <w:tcW w:type="dxa" w:w="3744"/>
          </w:tcPr>
          <w:p>
            <w:r>
              <w:rPr>
                <w:sz w:val="14"/>
              </w:rPr>
              <w:t>Unknown; potentially income/principal and distributions</w:t>
            </w:r>
          </w:p>
        </w:tc>
        <w:tc>
          <w:tcPr>
            <w:tcW w:type="dxa" w:w="4680"/>
          </w:tcPr>
          <w:p>
            <w:r>
              <w:rPr>
                <w:sz w:val="14"/>
              </w:rPr>
              <w:t>No amount moved between columns</w:t>
            </w:r>
          </w:p>
        </w:tc>
      </w:tr>
      <w:tr>
        <w:tc>
          <w:tcPr>
            <w:tcW w:type="dxa" w:w="2376"/>
          </w:tcPr>
          <w:p>
            <w:r>
              <w:rPr>
                <w:sz w:val="14"/>
              </w:rPr>
              <w:t>Relation to proceeds/reserve</w:t>
            </w:r>
          </w:p>
        </w:tc>
        <w:tc>
          <w:tcPr>
            <w:tcW w:type="dxa" w:w="3744"/>
          </w:tcPr>
          <w:p>
            <w:r>
              <w:rPr>
                <w:sz w:val="14"/>
              </w:rPr>
              <w:t>Must be analyzed with net proceeds, carrying value, reserve clearance</w:t>
            </w:r>
          </w:p>
        </w:tc>
        <w:tc>
          <w:tcPr>
            <w:tcW w:type="dxa" w:w="4680"/>
          </w:tcPr>
          <w:p>
            <w:r>
              <w:rPr>
                <w:sz w:val="14"/>
              </w:rPr>
              <w:t>Reserve release is non-cash; proceeds remain traceable</w:t>
            </w:r>
          </w:p>
        </w:tc>
      </w:tr>
      <w:tr>
        <w:tc>
          <w:tcPr>
            <w:tcW w:type="dxa" w:w="2376"/>
          </w:tcPr>
          <w:p>
            <w:r>
              <w:rPr>
                <w:sz w:val="14"/>
              </w:rPr>
              <w:t>Beneficiary distributions</w:t>
            </w:r>
          </w:p>
        </w:tc>
        <w:tc>
          <w:tcPr>
            <w:tcW w:type="dxa" w:w="3744"/>
          </w:tcPr>
          <w:p>
            <w:r>
              <w:rPr>
                <w:sz w:val="14"/>
              </w:rPr>
              <w:t>No supported amount or recipient list</w:t>
            </w:r>
          </w:p>
        </w:tc>
        <w:tc>
          <w:tcPr>
            <w:tcW w:type="dxa" w:w="4680"/>
          </w:tcPr>
          <w:p>
            <w:r>
              <w:rPr>
                <w:sz w:val="14"/>
              </w:rPr>
              <w:t>No distribution is asserted</w:t>
            </w:r>
          </w:p>
        </w:tc>
      </w:tr>
    </w:tbl>
    <w:p>
      <w:pPr>
        <w:spacing w:after="60" w:line="240" w:lineRule="auto"/>
        <w:jc w:val="left"/>
      </w:pPr>
      <w:r>
        <w:rPr>
          <w:b w:val="0"/>
          <w:i w:val="0"/>
          <w:sz w:val="4"/>
        </w:rPr>
      </w:r>
    </w:p>
    <w:p>
      <w:pPr>
        <w:spacing w:after="60" w:line="240" w:lineRule="auto"/>
        <w:jc w:val="left"/>
      </w:pPr>
      <w:r>
        <w:rPr>
          <w:b w:val="0"/>
          <w:i/>
          <w:sz w:val="15"/>
        </w:rPr>
        <w:t>This is a neutral accounting presentation of an unresolved classification question. Counsel must confirm authority; the trustee must document any election, effective period, and allocation. The accountant records documented action and audit trail, not whether an election was legally available or prudent.</w:t>
      </w:r>
    </w:p>
    <w:p>
      <w:pPr>
        <w:pStyle w:val="Heading2"/>
        <w:spacing w:before="100" w:after="40"/>
      </w:pPr>
      <w:r>
        <w:t>Remainder interests</w:t>
      </w:r>
    </w:p>
    <w:p>
      <w:pPr>
        <w:spacing w:after="60" w:line="240" w:lineRule="auto"/>
        <w:jc w:val="left"/>
      </w:pPr>
      <w:r>
        <w:rPr>
          <w:b w:val="0"/>
          <w:i w:val="0"/>
        </w:rPr>
        <w:t>Remainder beneficiaries are referenced only as a class because names, shares, and the governing instrument were not supplied. Their interests are not adjudicated. No schedule establishes a present right to proceeds, reserve release, or another amount.</w:t>
      </w:r>
    </w:p>
    <w:p>
      <w:r>
        <w:br w:type="page"/>
      </w:r>
    </w:p>
    <w:p>
      <w:pPr>
        <w:pStyle w:val="Heading1"/>
        <w:spacing w:before="100" w:after="40"/>
      </w:pPr>
      <w:r>
        <w:t>6. Reconciliation and unresolved matters</w:t>
      </w:r>
    </w:p>
    <w:p>
      <w:pPr>
        <w:pStyle w:val="Heading2"/>
        <w:spacing w:before="100" w:after="40"/>
      </w:pPr>
      <w:r>
        <w:t>Schedule 4 — Activity reconciliation</w:t>
      </w:r>
    </w:p>
    <w:tbl>
      <w:tblPr>
        <w:tblW w:type="auto" w:w="0"/>
        <w:jc w:val="center"/>
        <w:tblLayout w:type="fixed"/>
        <w:tblLook w:firstColumn="1" w:firstRow="1" w:lastColumn="0" w:lastRow="0" w:noHBand="0" w:noVBand="1" w:val="04A0"/>
      </w:tblPr>
      <w:tblGrid>
        <w:gridCol w:w="3485"/>
        <w:gridCol w:w="3485"/>
        <w:gridCol w:w="3485"/>
      </w:tblGrid>
      <w:tr>
        <w:tc>
          <w:tcPr>
            <w:tcW w:type="dxa" w:w="4320"/>
            <w:shd w:fill="DCE6F1"/>
          </w:tcPr>
          <w:p>
            <w:r>
              <w:rPr>
                <w:b/>
                <w:sz w:val="14"/>
              </w:rPr>
              <w:t>Reconciliation element</w:t>
            </w:r>
          </w:p>
        </w:tc>
        <w:tc>
          <w:tcPr>
            <w:tcW w:type="dxa" w:w="1944"/>
            <w:shd w:fill="DCE6F1"/>
          </w:tcPr>
          <w:p>
            <w:r>
              <w:rPr>
                <w:b/>
                <w:sz w:val="14"/>
              </w:rPr>
              <w:t>Amount</w:t>
            </w:r>
          </w:p>
        </w:tc>
        <w:tc>
          <w:tcPr>
            <w:tcW w:type="dxa" w:w="4536"/>
            <w:shd w:fill="DCE6F1"/>
          </w:tcPr>
          <w:p>
            <w:r>
              <w:rPr>
                <w:b/>
                <w:sz w:val="14"/>
              </w:rPr>
              <w:t>Cross-reference / effect</w:t>
            </w:r>
          </w:p>
        </w:tc>
      </w:tr>
      <w:tr>
        <w:tc>
          <w:tcPr>
            <w:tcW w:type="dxa" w:w="4320"/>
          </w:tcPr>
          <w:p>
            <w:r>
              <w:rPr>
                <w:sz w:val="14"/>
              </w:rPr>
              <w:t>Beginning net fiduciary position</w:t>
            </w:r>
          </w:p>
        </w:tc>
        <w:tc>
          <w:tcPr>
            <w:tcW w:type="dxa" w:w="1944"/>
          </w:tcPr>
          <w:p>
            <w:r>
              <w:rPr>
                <w:sz w:val="14"/>
              </w:rPr>
              <w:t>Unavailable</w:t>
            </w:r>
          </w:p>
        </w:tc>
        <w:tc>
          <w:tcPr>
            <w:tcW w:type="dxa" w:w="4536"/>
          </w:tcPr>
          <w:p>
            <w:r>
              <w:rPr>
                <w:sz w:val="14"/>
              </w:rPr>
              <w:t>Prior accounting or inventory required</w:t>
            </w:r>
          </w:p>
        </w:tc>
      </w:tr>
      <w:tr>
        <w:tc>
          <w:tcPr>
            <w:tcW w:type="dxa" w:w="4320"/>
          </w:tcPr>
          <w:p>
            <w:r>
              <w:rPr>
                <w:sz w:val="14"/>
              </w:rPr>
              <w:t>+ Receipts collected</w:t>
            </w:r>
          </w:p>
        </w:tc>
        <w:tc>
          <w:tcPr>
            <w:tcW w:type="dxa" w:w="1944"/>
          </w:tcPr>
          <w:p>
            <w:r>
              <w:rPr>
                <w:sz w:val="14"/>
              </w:rPr>
              <w:t>Unavailable</w:t>
            </w:r>
          </w:p>
        </w:tc>
        <w:tc>
          <w:tcPr>
            <w:tcW w:type="dxa" w:w="4536"/>
          </w:tcPr>
          <w:p>
            <w:r>
              <w:rPr>
                <w:sz w:val="14"/>
              </w:rPr>
              <w:t>Schedule 1; bank/ledger support required</w:t>
            </w:r>
          </w:p>
        </w:tc>
      </w:tr>
      <w:tr>
        <w:tc>
          <w:tcPr>
            <w:tcW w:type="dxa" w:w="4320"/>
          </w:tcPr>
          <w:p>
            <w:r>
              <w:rPr>
                <w:sz w:val="14"/>
              </w:rPr>
              <w:t>+ Realized gain / (− loss)</w:t>
            </w:r>
          </w:p>
        </w:tc>
        <w:tc>
          <w:tcPr>
            <w:tcW w:type="dxa" w:w="1944"/>
          </w:tcPr>
          <w:p>
            <w:r>
              <w:rPr>
                <w:sz w:val="14"/>
              </w:rPr>
              <w:t>Withheld</w:t>
            </w:r>
          </w:p>
        </w:tc>
        <w:tc>
          <w:tcPr>
            <w:tcW w:type="dxa" w:w="4536"/>
          </w:tcPr>
          <w:p>
            <w:r>
              <w:rPr>
                <w:sz w:val="14"/>
              </w:rPr>
              <w:t>Schedule 3; net proceeds and carrying value needed</w:t>
            </w:r>
          </w:p>
        </w:tc>
      </w:tr>
      <w:tr>
        <w:tc>
          <w:tcPr>
            <w:tcW w:type="dxa" w:w="4320"/>
          </w:tcPr>
          <w:p>
            <w:r>
              <w:rPr>
                <w:sz w:val="14"/>
              </w:rPr>
              <w:t>− Disbursements and expenses</w:t>
            </w:r>
          </w:p>
        </w:tc>
        <w:tc>
          <w:tcPr>
            <w:tcW w:type="dxa" w:w="1944"/>
          </w:tcPr>
          <w:p>
            <w:r>
              <w:rPr>
                <w:sz w:val="14"/>
              </w:rPr>
              <w:t>Unavailable</w:t>
            </w:r>
          </w:p>
        </w:tc>
        <w:tc>
          <w:tcPr>
            <w:tcW w:type="dxa" w:w="4536"/>
          </w:tcPr>
          <w:p>
            <w:r>
              <w:rPr>
                <w:sz w:val="14"/>
              </w:rPr>
              <w:t>Schedule 2; vouchers and classification required</w:t>
            </w:r>
          </w:p>
        </w:tc>
      </w:tr>
      <w:tr>
        <w:tc>
          <w:tcPr>
            <w:tcW w:type="dxa" w:w="4320"/>
          </w:tcPr>
          <w:p>
            <w:r>
              <w:rPr>
                <w:sz w:val="14"/>
              </w:rPr>
              <w:t>− Beneficiary distributions</w:t>
            </w:r>
          </w:p>
        </w:tc>
        <w:tc>
          <w:tcPr>
            <w:tcW w:type="dxa" w:w="1944"/>
          </w:tcPr>
          <w:p>
            <w:r>
              <w:rPr>
                <w:sz w:val="14"/>
              </w:rPr>
              <w:t>Unavailable</w:t>
            </w:r>
          </w:p>
        </w:tc>
        <w:tc>
          <w:tcPr>
            <w:tcW w:type="dxa" w:w="4536"/>
          </w:tcPr>
          <w:p>
            <w:r>
              <w:rPr>
                <w:sz w:val="14"/>
              </w:rPr>
              <w:t>Schedule 2; recipient and authorization required</w:t>
            </w:r>
          </w:p>
        </w:tc>
      </w:tr>
      <w:tr>
        <w:tc>
          <w:tcPr>
            <w:tcW w:type="dxa" w:w="4320"/>
          </w:tcPr>
          <w:p>
            <w:r>
              <w:rPr>
                <w:sz w:val="14"/>
              </w:rPr>
              <w:t>+/(−) non-cash reserve clearance</w:t>
            </w:r>
          </w:p>
        </w:tc>
        <w:tc>
          <w:tcPr>
            <w:tcW w:type="dxa" w:w="1944"/>
          </w:tcPr>
          <w:p>
            <w:r>
              <w:rPr>
                <w:sz w:val="14"/>
              </w:rPr>
              <w:t>Unavailable</w:t>
            </w:r>
          </w:p>
        </w:tc>
        <w:tc>
          <w:tcPr>
            <w:tcW w:type="dxa" w:w="4536"/>
          </w:tcPr>
          <w:p>
            <w:r>
              <w:rPr>
                <w:sz w:val="14"/>
              </w:rPr>
              <w:t>Schedule 3; does not change cash</w:t>
            </w:r>
          </w:p>
        </w:tc>
      </w:tr>
      <w:tr>
        <w:tc>
          <w:tcPr>
            <w:tcW w:type="dxa" w:w="4320"/>
          </w:tcPr>
          <w:p>
            <w:r>
              <w:rPr>
                <w:sz w:val="14"/>
              </w:rPr>
              <w:t>Ending net fiduciary position</w:t>
            </w:r>
          </w:p>
        </w:tc>
        <w:tc>
          <w:tcPr>
            <w:tcW w:type="dxa" w:w="1944"/>
          </w:tcPr>
          <w:p>
            <w:r>
              <w:rPr>
                <w:sz w:val="14"/>
              </w:rPr>
              <w:t>Pending records</w:t>
            </w:r>
          </w:p>
        </w:tc>
        <w:tc>
          <w:tcPr>
            <w:tcW w:type="dxa" w:w="4536"/>
          </w:tcPr>
          <w:p>
            <w:r>
              <w:rPr>
                <w:sz w:val="14"/>
              </w:rPr>
              <w:t>Cannot be numerically proved</w:t>
            </w:r>
          </w:p>
        </w:tc>
      </w:tr>
    </w:tbl>
    <w:p>
      <w:pPr>
        <w:spacing w:after="60" w:line="240" w:lineRule="auto"/>
        <w:jc w:val="left"/>
      </w:pPr>
      <w:r>
        <w:rPr>
          <w:b w:val="0"/>
          <w:i w:val="0"/>
          <w:sz w:val="4"/>
        </w:rPr>
      </w:r>
    </w:p>
    <w:p>
      <w:pPr>
        <w:spacing w:after="60" w:line="240" w:lineRule="auto"/>
        <w:jc w:val="left"/>
      </w:pPr>
      <w:r>
        <w:rPr>
          <w:b w:val="0"/>
          <w:i/>
          <w:sz w:val="15"/>
        </w:rPr>
        <w:t>The reconciliation is intentionally open: a pending total is more reliable than an unsupported balancing figure. When records are supplied, ending cash, receivable, assets, liabilities, and principal/income balances should agree to detail. No duplicate inclusion of parcel, reserve, proceeds, or sale costs is intended.</w:t>
      </w:r>
    </w:p>
    <w:p>
      <w:pPr>
        <w:pStyle w:val="Heading2"/>
        <w:spacing w:before="100" w:after="40"/>
      </w:pPr>
      <w:r>
        <w:t>Unresolved matters requiring record confirmation</w:t>
      </w:r>
    </w:p>
    <w:tbl>
      <w:tblPr>
        <w:tblW w:type="auto" w:w="0"/>
        <w:jc w:val="center"/>
        <w:tblLayout w:type="fixed"/>
        <w:tblLook w:firstColumn="1" w:firstRow="1" w:lastColumn="0" w:lastRow="0" w:noHBand="0" w:noVBand="1" w:val="04A0"/>
      </w:tblPr>
      <w:tblGrid>
        <w:gridCol w:w="3485"/>
        <w:gridCol w:w="3485"/>
        <w:gridCol w:w="3485"/>
      </w:tblGrid>
      <w:tr>
        <w:tc>
          <w:tcPr>
            <w:tcW w:type="dxa" w:w="3168"/>
            <w:shd w:fill="DCE6F1"/>
          </w:tcPr>
          <w:p>
            <w:r>
              <w:rPr>
                <w:b/>
                <w:sz w:val="14"/>
              </w:rPr>
              <w:t>Item</w:t>
            </w:r>
          </w:p>
        </w:tc>
        <w:tc>
          <w:tcPr>
            <w:tcW w:type="dxa" w:w="4464"/>
            <w:shd w:fill="DCE6F1"/>
          </w:tcPr>
          <w:p>
            <w:r>
              <w:rPr>
                <w:b/>
                <w:sz w:val="14"/>
              </w:rPr>
              <w:t>Why material</w:t>
            </w:r>
          </w:p>
        </w:tc>
        <w:tc>
          <w:tcPr>
            <w:tcW w:type="dxa" w:w="3168"/>
            <w:shd w:fill="DCE6F1"/>
          </w:tcPr>
          <w:p>
            <w:r>
              <w:rPr>
                <w:b/>
                <w:sz w:val="14"/>
              </w:rPr>
              <w:t>Current treatment</w:t>
            </w:r>
          </w:p>
        </w:tc>
      </w:tr>
      <w:tr>
        <w:tc>
          <w:tcPr>
            <w:tcW w:type="dxa" w:w="3168"/>
          </w:tcPr>
          <w:p>
            <w:r>
              <w:rPr>
                <w:sz w:val="14"/>
              </w:rPr>
              <w:t>Period and filing caption</w:t>
            </w:r>
          </w:p>
        </w:tc>
        <w:tc>
          <w:tcPr>
            <w:tcW w:type="dxa" w:w="4464"/>
          </w:tcPr>
          <w:p>
            <w:r>
              <w:rPr>
                <w:sz w:val="14"/>
              </w:rPr>
              <w:t>Determines included activity</w:t>
            </w:r>
          </w:p>
        </w:tc>
        <w:tc>
          <w:tcPr>
            <w:tcW w:type="dxa" w:w="3168"/>
          </w:tcPr>
          <w:p>
            <w:r>
              <w:rPr>
                <w:sz w:val="14"/>
              </w:rPr>
              <w:t>Dates pending</w:t>
            </w:r>
          </w:p>
        </w:tc>
      </w:tr>
      <w:tr>
        <w:tc>
          <w:tcPr>
            <w:tcW w:type="dxa" w:w="3168"/>
          </w:tcPr>
          <w:p>
            <w:r>
              <w:rPr>
                <w:sz w:val="14"/>
              </w:rPr>
              <w:t>Closing statement, deed, settlement ledger</w:t>
            </w:r>
          </w:p>
        </w:tc>
        <w:tc>
          <w:tcPr>
            <w:tcW w:type="dxa" w:w="4464"/>
          </w:tcPr>
          <w:p>
            <w:r>
              <w:rPr>
                <w:sz w:val="14"/>
              </w:rPr>
              <w:t>Consideration, costs, buyer, date, cash/receivable</w:t>
            </w:r>
          </w:p>
        </w:tc>
        <w:tc>
          <w:tcPr>
            <w:tcW w:type="dxa" w:w="3168"/>
          </w:tcPr>
          <w:p>
            <w:r>
              <w:rPr>
                <w:sz w:val="14"/>
              </w:rPr>
              <w:t>No amount or identity asserted</w:t>
            </w:r>
          </w:p>
        </w:tc>
      </w:tr>
      <w:tr>
        <w:tc>
          <w:tcPr>
            <w:tcW w:type="dxa" w:w="3168"/>
          </w:tcPr>
          <w:p>
            <w:r>
              <w:rPr>
                <w:sz w:val="14"/>
              </w:rPr>
              <w:t>Cost/basis and reserve ledger</w:t>
            </w:r>
          </w:p>
        </w:tc>
        <w:tc>
          <w:tcPr>
            <w:tcW w:type="dxa" w:w="4464"/>
          </w:tcPr>
          <w:p>
            <w:r>
              <w:rPr>
                <w:sz w:val="14"/>
              </w:rPr>
              <w:t>Reserve clearance and gain/loss</w:t>
            </w:r>
          </w:p>
        </w:tc>
        <w:tc>
          <w:tcPr>
            <w:tcW w:type="dxa" w:w="3168"/>
          </w:tcPr>
          <w:p>
            <w:r>
              <w:rPr>
                <w:sz w:val="14"/>
              </w:rPr>
              <w:t>Gain/loss withheld</w:t>
            </w:r>
          </w:p>
        </w:tc>
      </w:tr>
      <w:tr>
        <w:tc>
          <w:tcPr>
            <w:tcW w:type="dxa" w:w="3168"/>
          </w:tcPr>
          <w:p>
            <w:r>
              <w:rPr>
                <w:sz w:val="14"/>
              </w:rPr>
              <w:t>Bank, investment, payable records</w:t>
            </w:r>
          </w:p>
        </w:tc>
        <w:tc>
          <w:tcPr>
            <w:tcW w:type="dxa" w:w="4464"/>
          </w:tcPr>
          <w:p>
            <w:r>
              <w:rPr>
                <w:sz w:val="14"/>
              </w:rPr>
              <w:t>Beginning/ending balances and obligations</w:t>
            </w:r>
          </w:p>
        </w:tc>
        <w:tc>
          <w:tcPr>
            <w:tcW w:type="dxa" w:w="3168"/>
          </w:tcPr>
          <w:p>
            <w:r>
              <w:rPr>
                <w:sz w:val="14"/>
              </w:rPr>
              <w:t>Position pending</w:t>
            </w:r>
          </w:p>
        </w:tc>
      </w:tr>
      <w:tr>
        <w:tc>
          <w:tcPr>
            <w:tcW w:type="dxa" w:w="3168"/>
          </w:tcPr>
          <w:p>
            <w:r>
              <w:rPr>
                <w:sz w:val="14"/>
              </w:rPr>
              <w:t>Instrument, orders, election record</w:t>
            </w:r>
          </w:p>
        </w:tc>
        <w:tc>
          <w:tcPr>
            <w:tcW w:type="dxa" w:w="4464"/>
          </w:tcPr>
          <w:p>
            <w:r>
              <w:rPr>
                <w:sz w:val="14"/>
              </w:rPr>
              <w:t>Principal/income and adjustment</w:t>
            </w:r>
          </w:p>
        </w:tc>
        <w:tc>
          <w:tcPr>
            <w:tcW w:type="dxa" w:w="3168"/>
          </w:tcPr>
          <w:p>
            <w:r>
              <w:rPr>
                <w:sz w:val="14"/>
              </w:rPr>
              <w:t>Classification unresolved</w:t>
            </w:r>
          </w:p>
        </w:tc>
      </w:tr>
    </w:tbl>
    <w:p>
      <w:pPr>
        <w:spacing w:after="60" w:line="240" w:lineRule="auto"/>
        <w:jc w:val="left"/>
      </w:pPr>
      <w:r>
        <w:rPr>
          <w:b w:val="0"/>
          <w:i w:val="0"/>
          <w:sz w:val="4"/>
        </w:rPr>
      </w:r>
    </w:p>
    <w:p>
      <w:r>
        <w:br w:type="page"/>
      </w:r>
    </w:p>
    <w:p>
      <w:pPr>
        <w:pStyle w:val="Heading1"/>
        <w:spacing w:before="100" w:after="40"/>
      </w:pPr>
      <w:r>
        <w:t>7. Accounting certification and verification</w:t>
      </w:r>
    </w:p>
    <w:p>
      <w:pPr>
        <w:spacing w:after="60" w:line="240" w:lineRule="auto"/>
        <w:jc w:val="left"/>
      </w:pPr>
      <w:r>
        <w:rPr>
          <w:b w:val="0"/>
          <w:i w:val="0"/>
        </w:rPr>
        <w:t>Preparer’s statement. Ivo Marchenko, accountant at Ostrander &amp; Quill, prepared this filing draft from the limited file history in Section 1. I present schedules and qualifications as an accounting professional. I am not the trustee, do not make trustee fiduciary decisions, and do not certify legal entitlement, tax treatment, valuation, or records not supplied.</w:t>
      </w:r>
    </w:p>
    <w:p>
      <w:pPr>
        <w:spacing w:after="60" w:line="240" w:lineRule="auto"/>
        <w:jc w:val="left"/>
      </w:pPr>
      <w:r>
        <w:rPr>
          <w:b w:val="0"/>
          <w:i w:val="0"/>
        </w:rPr>
        <w:t>Trustee verification. I, Cecile Ntumba, trustee of the Dunmore Testamentary Trust, have reviewed this draft to the extent of records available to me. Subject to stated unavailable-data limitations and corrections before filing, I verify that it is intended to report trust activity for the stated period and that I will not treat an unavailable field as zero. Signing confirms my review and capacity; it does not waive rights, construe the trust, determine tax, establish fair market value, or constitute a court order.</w:t>
      </w:r>
    </w:p>
    <w:p>
      <w:pPr>
        <w:spacing w:after="60" w:line="240" w:lineRule="auto"/>
        <w:jc w:val="left"/>
      </w:pPr>
      <w:r>
        <w:rPr>
          <w:b w:val="0"/>
          <w:i/>
          <w:sz w:val="15"/>
        </w:rPr>
        <w:t>The trustee should sign only after reviewing ledger, statements, sale/closing records, reserve support, distributions, liabilities, and any power-to-adjust documentation. This describes verification, not a recommendation about distribution or fiduciary action.</w:t>
      </w:r>
    </w:p>
    <w:tbl>
      <w:tblPr>
        <w:tblW w:type="auto" w:w="0"/>
        <w:jc w:val="center"/>
        <w:tblLayout w:type="fixed"/>
        <w:tblLook w:firstColumn="1" w:firstRow="1" w:lastColumn="0" w:lastRow="0" w:noHBand="0" w:noVBand="1" w:val="04A0"/>
      </w:tblPr>
      <w:tblGrid>
        <w:gridCol w:w="3485"/>
        <w:gridCol w:w="3485"/>
        <w:gridCol w:w="3485"/>
      </w:tblGrid>
      <w:tr>
        <w:tc>
          <w:tcPr>
            <w:tcW w:type="dxa" w:w="3960"/>
            <w:shd w:fill="DCE6F1"/>
          </w:tcPr>
          <w:p>
            <w:r>
              <w:rPr>
                <w:b/>
                <w:sz w:val="16"/>
              </w:rPr>
              <w:t>Signature</w:t>
            </w:r>
          </w:p>
        </w:tc>
        <w:tc>
          <w:tcPr>
            <w:tcW w:type="dxa" w:w="4536"/>
            <w:shd w:fill="DCE6F1"/>
          </w:tcPr>
          <w:p>
            <w:r>
              <w:rPr>
                <w:b/>
                <w:sz w:val="16"/>
              </w:rPr>
              <w:t>Printed name / capacity</w:t>
            </w:r>
          </w:p>
        </w:tc>
        <w:tc>
          <w:tcPr>
            <w:tcW w:type="dxa" w:w="2304"/>
            <w:shd w:fill="DCE6F1"/>
          </w:tcPr>
          <w:p>
            <w:r>
              <w:rPr>
                <w:b/>
                <w:sz w:val="16"/>
              </w:rPr>
              <w:t>Date</w:t>
            </w:r>
          </w:p>
        </w:tc>
      </w:tr>
      <w:tr>
        <w:tc>
          <w:tcPr>
            <w:tcW w:type="dxa" w:w="3960"/>
          </w:tcPr>
          <w:p>
            <w:r>
              <w:rPr>
                <w:sz w:val="16"/>
              </w:rPr>
              <w:t>________________________________</w:t>
            </w:r>
          </w:p>
        </w:tc>
        <w:tc>
          <w:tcPr>
            <w:tcW w:type="dxa" w:w="4536"/>
          </w:tcPr>
          <w:p>
            <w:r>
              <w:rPr>
                <w:sz w:val="16"/>
              </w:rPr>
              <w:t>Cecile Ntumba, Trustee</w:t>
            </w:r>
          </w:p>
        </w:tc>
        <w:tc>
          <w:tcPr>
            <w:tcW w:type="dxa" w:w="2304"/>
          </w:tcPr>
          <w:p>
            <w:r>
              <w:rPr>
                <w:sz w:val="16"/>
              </w:rPr>
              <w:t>________________</w:t>
            </w:r>
          </w:p>
        </w:tc>
      </w:tr>
      <w:tr>
        <w:tc>
          <w:tcPr>
            <w:tcW w:type="dxa" w:w="3960"/>
          </w:tcPr>
          <w:p>
            <w:r>
              <w:rPr>
                <w:sz w:val="16"/>
              </w:rPr>
              <w:t>________________________________</w:t>
            </w:r>
          </w:p>
        </w:tc>
        <w:tc>
          <w:tcPr>
            <w:tcW w:type="dxa" w:w="4536"/>
          </w:tcPr>
          <w:p>
            <w:r>
              <w:rPr>
                <w:sz w:val="16"/>
              </w:rPr>
              <w:t>Ivo Marchenko, Preparer, Ostrander &amp; Quill</w:t>
            </w:r>
          </w:p>
        </w:tc>
        <w:tc>
          <w:tcPr>
            <w:tcW w:type="dxa" w:w="2304"/>
          </w:tcPr>
          <w:p>
            <w:r>
              <w:rPr>
                <w:sz w:val="16"/>
              </w:rPr>
              <w:t>24 August 2026</w:t>
            </w:r>
          </w:p>
        </w:tc>
      </w:tr>
    </w:tbl>
    <w:p>
      <w:pPr>
        <w:spacing w:after="60" w:line="240" w:lineRule="auto"/>
        <w:jc w:val="left"/>
      </w:pPr>
      <w:r>
        <w:rPr>
          <w:b w:val="0"/>
          <w:i w:val="0"/>
          <w:sz w:val="4"/>
        </w:rPr>
      </w:r>
    </w:p>
    <w:p>
      <w:pPr>
        <w:pStyle w:val="Heading2"/>
        <w:spacing w:before="100" w:after="40"/>
      </w:pPr>
      <w:r>
        <w:t>Certification scope reminder</w:t>
      </w:r>
    </w:p>
    <w:p>
      <w:pPr>
        <w:spacing w:after="60" w:line="240" w:lineRule="auto"/>
        <w:jc w:val="left"/>
      </w:pPr>
      <w:r>
        <w:rPr>
          <w:b w:val="0"/>
          <w:i w:val="0"/>
        </w:rPr>
        <w:t>This draft ends with accounting and certification material. Filing or approval, if later sought, has only the scope actually stated by the court. Nothing here is a ruling on ultimate beneficiary entitlement or a substitute for counsel, tax advice, independent valuation, or the governing instrument.</w:t>
      </w:r>
    </w:p>
    <w:sectPr w:rsidR="00FC693F" w:rsidRPr="0006063C" w:rsidSect="00034616">
      <w:headerReference w:type="default" r:id="rId9"/>
      <w:footerReference w:type="default" r:id="rId10"/>
      <w:pgSz w:w="12240" w:h="15840"/>
      <w:pgMar w:top="749"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Prepared for filing review • Draft accounting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4"/>
      </w:rPr>
      <w:t>DUNMORE TESTAMENTARY TRUST  |  FIDUCIARY ACCOUNTING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752"/>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752"/>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375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Dunmore Testamentary Trust Fiduciary Accounting</dc:title>
  <dc:subject/>
  <dc:creator>Ivo Marchenko, Ostrander &amp; Quill</dc:creator>
  <cp:keywords/>
  <dc:description>generated by python-docx</dc:description>
  <cp:lastModifiedBy/>
  <cp:revision>1</cp:revision>
  <dcterms:created xsi:type="dcterms:W3CDTF">2013-12-23T23:15:00Z</dcterms:created>
  <dcterms:modified xsi:type="dcterms:W3CDTF">2013-12-23T23:15:00Z</dcterms:modified>
  <cp:category/>
</cp:coreProperties>
</file>