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0"/>
        </w:rPr>
        <w:t>FARROWDALE COMPONENTS</w:t>
      </w:r>
    </w:p>
    <w:p>
      <w:pPr>
        <w:jc w:val="center"/>
      </w:pPr>
      <w:r>
        <w:rPr>
          <w:b/>
          <w:sz w:val="24"/>
        </w:rPr>
        <w:t>EXECUTIVE SOURCING DECISION MEMORANDUM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To</w:t>
            </w:r>
          </w:p>
        </w:tc>
        <w:tc>
          <w:tcPr>
            <w:tcW w:type="dxa" w:w="5184"/>
          </w:tcPr>
          <w:p>
            <w:r>
              <w:t>Beatriz Waddington, Executive Team decision owner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/>
              </w:rPr>
              <w:t>From</w:t>
            </w:r>
          </w:p>
        </w:tc>
        <w:tc>
          <w:tcPr>
            <w:tcW w:type="dxa" w:w="5184"/>
          </w:tcPr>
          <w:p>
            <w:r>
              <w:t>Felix Braithwaite, Buyer — actuator housings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/>
              </w:rPr>
              <w:t>Execution owner</w:t>
            </w:r>
          </w:p>
        </w:tc>
        <w:tc>
          <w:tcPr>
            <w:tcW w:type="dxa" w:w="5184"/>
          </w:tcPr>
          <w:p>
            <w:r>
              <w:t>Cecilia Underwood, Procurement Operations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/>
              </w:rPr>
              <w:t>Date / basis</w:t>
            </w:r>
          </w:p>
        </w:tc>
        <w:tc>
          <w:tcPr>
            <w:tcW w:type="dxa" w:w="5184"/>
          </w:tcPr>
          <w:p>
            <w:r>
              <w:t>Friday decision; 2024 actuals and 2025 YTD through 30 Sep 2025; frozen Germany–Poland snapshot as of 30 Sep 2025</w:t>
            </w:r>
          </w:p>
        </w:tc>
      </w:tr>
    </w:tbl>
    <w:p/>
    <w:p>
      <w:r>
        <w:rPr>
          <w:b/>
          <w:color w:val="006100"/>
        </w:rPr>
        <w:t xml:space="preserve">DECISION — RECOMMEND SUNDERLY ENERGY. </w:t>
      </w:r>
      <w:r>
        <w:t>Approve a bounded, conditional award for actuator housings only. The recommendation is not final approval and does not authorize a binding purchase order until the conditions below are recorded.</w:t>
      </w:r>
    </w:p>
    <w:p>
      <w:pPr>
        <w:pStyle w:val="Heading2"/>
      </w:pPr>
      <w:r>
        <w:rPr>
          <w:b/>
          <w:color w:val="17365D"/>
          <w:sz w:val="21"/>
        </w:rPr>
        <w:t>Evidence and score</w:t>
      </w:r>
    </w:p>
    <w:p>
      <w:r>
        <w:t>The companion workbook scores the two compared suppliers using the supplied policy only: Quality 30%, Delivery 25%, Cost 25%, Compliance evidence 20%. On the 2025 YTD basis, Sunderly scores 91.9 and Wardenby 71.4 (gap 20.5 points).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Supplier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Delivery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Compliance / total</w:t>
            </w:r>
          </w:p>
        </w:tc>
      </w:tr>
      <w:tr>
        <w:tc>
          <w:tcPr>
            <w:tcW w:type="dxa" w:w="2074"/>
          </w:tcPr>
          <w:p>
            <w:r>
              <w:t>Wardenby Logistics</w:t>
            </w:r>
          </w:p>
        </w:tc>
        <w:tc>
          <w:tcPr>
            <w:tcW w:type="dxa" w:w="2074"/>
          </w:tcPr>
          <w:p>
            <w:r>
              <w:t>60.0</w:t>
            </w:r>
          </w:p>
        </w:tc>
        <w:tc>
          <w:tcPr>
            <w:tcW w:type="dxa" w:w="2074"/>
          </w:tcPr>
          <w:p>
            <w:r>
              <w:t>87.0</w:t>
            </w:r>
          </w:p>
        </w:tc>
        <w:tc>
          <w:tcPr>
            <w:tcW w:type="dxa" w:w="2074"/>
          </w:tcPr>
          <w:p>
            <w:r>
              <w:t>100.0</w:t>
            </w:r>
          </w:p>
        </w:tc>
        <w:tc>
          <w:tcPr>
            <w:tcW w:type="dxa" w:w="2074"/>
          </w:tcPr>
          <w:p>
            <w:r>
              <w:t>33.3 / 71.4</w:t>
            </w:r>
          </w:p>
        </w:tc>
      </w:tr>
      <w:tr>
        <w:tc>
          <w:tcPr>
            <w:tcW w:type="dxa" w:w="2074"/>
          </w:tcPr>
          <w:p>
            <w:r>
              <w:t>Sunderly Energy</w:t>
            </w:r>
          </w:p>
        </w:tc>
        <w:tc>
          <w:tcPr>
            <w:tcW w:type="dxa" w:w="2074"/>
          </w:tcPr>
          <w:p>
            <w:r>
              <w:t>80.0</w:t>
            </w:r>
          </w:p>
        </w:tc>
        <w:tc>
          <w:tcPr>
            <w:tcW w:type="dxa" w:w="2074"/>
          </w:tcPr>
          <w:p>
            <w:r>
              <w:t>97.0</w:t>
            </w:r>
          </w:p>
        </w:tc>
        <w:tc>
          <w:tcPr>
            <w:tcW w:type="dxa" w:w="2074"/>
          </w:tcPr>
          <w:p>
            <w:r>
              <w:t>94.4</w:t>
            </w:r>
          </w:p>
        </w:tc>
        <w:tc>
          <w:tcPr>
            <w:tcW w:type="dxa" w:w="2074"/>
          </w:tcPr>
          <w:p>
            <w:r>
              <w:t>100.0 / 91.9</w:t>
            </w:r>
          </w:p>
        </w:tc>
      </w:tr>
    </w:tbl>
    <w:p>
      <w:r>
        <w:t>2024 actuals are a baseline, not a veto. Wardenby defect rate rises from 1.5% (180/12,000) to 2.0% (180/9,000), on-time delivery falls from 95.0% (11,400/12,000) to 87.0% (7,830/9,000), and lead time increases 6→8 days. Sunderly improves: defects fall 1.5% (150/10,000) to 1.0% (80/8,000), on-time rises 92.0%→97.0%, and lead time improves 7→6 days. Quoted ex-works costs are $41.75/unit Wardenby and $44.25/unit Sunderly on the stated YTD volume bases. Lowest price therefore stops controlling: the newer operational evidence and compliance risk materially change the risk-adjusted decision.</w:t>
      </w:r>
    </w:p>
    <w:p>
      <w:pPr>
        <w:pStyle w:val="Heading2"/>
      </w:pPr>
      <w:r>
        <w:rPr>
          <w:b/>
          <w:color w:val="17365D"/>
          <w:sz w:val="21"/>
        </w:rPr>
        <w:t>Origin, due diligence and snapshot limits</w:t>
      </w:r>
    </w:p>
    <w:p>
      <w:r>
        <w:t>As of 30 September 2025, the supplied rule determines origin by the source-defined substantial-transformation (or equivalent evidence) test. Shipment, dispatch, or seller location alone does not establish origin. Sunderly holds origin statements and bills of materials/transformation records for Germany and Poland. Wardenby holds a Germany invoice/location record, but its Poland file shows dispatch from Poland without transformation evidence; those jurisdictions are not interchangeable. Sunderly also holds questionnaire, ownership/control and sanctions-screening evidence; Wardenby’s ownership confirmation remains pending. Due diligence is not equivalent to a completed site verification. The snapshot is time-bounded and is not proof of legal developments after its date; policy compliance is not a conclusion that the transaction is legally risk-free or permanently approved.</w:t>
      </w:r>
    </w:p>
    <w:p>
      <w:pPr>
        <w:pStyle w:val="Heading2"/>
      </w:pPr>
      <w:r>
        <w:rPr>
          <w:b/>
          <w:color w:val="17365D"/>
          <w:sz w:val="21"/>
        </w:rPr>
        <w:t>Conditions, authority and residual risk</w:t>
      </w:r>
    </w:p>
    <w:p>
      <w:r>
        <w:t>The normal site-verification step cannot occur before Friday for either supplier. The policy-supported fallback is Sunderly’s alternative-evidence pack, retained with the origin and due-diligence file, plus a written approval gate. Before any binding release, Cecilia Underwood must obtain written approval from the Procurement Director and Compliance Counsel, record an actuator-housing-only scope with approved quantity/value cap and expiry/review point, and confirm the evidence pack is attached to the file. Site verification remains a named residual risk and must be scheduled later under policy; no waiver or completed visit is asserted. If a required approval or evidence item is absent, Cecilia must hold the release and escalate to Beatriz.</w:t>
      </w:r>
    </w:p>
    <w:p>
      <w:r>
        <w:t>Josefa Salcedo’s informal statement that approval was expected is acknowledged but non-controlling. It is not a signed approval, binding commitment, or substitute for the formal authority path; Beatriz should correct that expectation before award communication.</w:t>
      </w:r>
    </w:p>
    <w:p>
      <w:pPr>
        <w:pStyle w:val="Heading2"/>
      </w:pPr>
      <w:r>
        <w:rPr>
          <w:b/>
          <w:color w:val="17365D"/>
          <w:sz w:val="21"/>
        </w:rPr>
        <w:t>Decision</w:t>
      </w:r>
    </w:p>
    <w:p>
      <w:r>
        <w:t xml:space="preserve">Award Sunderly Energy conditionally for the bounded actuator-housing scope, subject to the named written approvals and pre-release evidence gate above. </w:t>
      </w:r>
      <w:r>
        <w:rPr>
          <w:b/>
        </w:rPr>
        <w:t>Cecilia Underwood may release no order until those gates are documented; Wardenby remains the commercial fallback only, not a co-equal award.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