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January Delinquency Trigger Response</w:t>
      </w:r>
    </w:p>
    <w:p>
      <w:pPr>
        <w:jc w:val="center"/>
      </w:pPr>
      <w:r>
        <w:rPr>
          <w:i/>
        </w:rPr>
        <w:t>Brightcastle Industries | Fallowbrook Council shared-services portfolio | Internal review for Esperanza Duarte</w:t>
      </w:r>
    </w:p>
    <w:p>
      <w:r>
        <w:rPr>
          <w:b/>
        </w:rPr>
        <w:t>Purpose and scope</w:t>
      </w:r>
    </w:p>
    <w:p>
      <w:r>
        <w:rPr>
          <w:b w:val="0"/>
        </w:rPr>
        <w:t>This internal customer-case analysis covers the nine associations represented in Fallowbrook_delinquency_evidence.xlsx: Ashgrove, Briarfield, Cedar Row, Dunlin Park, Elmstead, Fernbank, Glenhaven, Hazel Court, and Ivy Mews. It compares historical ledger states with the 10 January 2026 projection and presents two executable trigger alternatives. The alternatives are descriptive; this response does not recommend a threshold, authorize collection activity, or direct that any resident be contacted.</w:t>
      </w:r>
    </w:p>
    <w:p>
      <w:pPr>
        <w:pStyle w:val="Heading1"/>
      </w:pPr>
      <w:r>
        <w:t>1. Period comparison</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shd w:fill="1F4E78"/>
            <w:vAlign w:val="center"/>
          </w:tcPr>
          <w:p>
            <w:r>
              <w:rPr>
                <w:b/>
                <w:color w:val="FFFFFF"/>
                <w:sz w:val="16"/>
              </w:rPr>
              <w:t>Period</w:t>
            </w:r>
          </w:p>
        </w:tc>
        <w:tc>
          <w:tcPr>
            <w:tcW w:type="dxa" w:w="1752"/>
            <w:shd w:fill="1F4E78"/>
            <w:vAlign w:val="center"/>
          </w:tcPr>
          <w:p>
            <w:r>
              <w:rPr>
                <w:b/>
                <w:color w:val="FFFFFF"/>
                <w:sz w:val="16"/>
              </w:rPr>
              <w:t>Alternative</w:t>
            </w:r>
          </w:p>
        </w:tc>
        <w:tc>
          <w:tcPr>
            <w:tcW w:type="dxa" w:w="1752"/>
            <w:shd w:fill="1F4E78"/>
            <w:vAlign w:val="center"/>
          </w:tcPr>
          <w:p>
            <w:r>
              <w:rPr>
                <w:b/>
                <w:color w:val="FFFFFF"/>
                <w:sz w:val="16"/>
              </w:rPr>
              <w:t>Courtesy n / balance</w:t>
            </w:r>
          </w:p>
        </w:tc>
        <w:tc>
          <w:tcPr>
            <w:tcW w:type="dxa" w:w="1752"/>
            <w:shd w:fill="1F4E78"/>
            <w:vAlign w:val="center"/>
          </w:tcPr>
          <w:p>
            <w:r>
              <w:rPr>
                <w:b/>
                <w:color w:val="FFFFFF"/>
                <w:sz w:val="16"/>
              </w:rPr>
              <w:t>Demand n / balance</w:t>
            </w:r>
          </w:p>
        </w:tc>
        <w:tc>
          <w:tcPr>
            <w:tcW w:type="dxa" w:w="1752"/>
            <w:shd w:fill="1F4E78"/>
            <w:vAlign w:val="center"/>
          </w:tcPr>
          <w:p>
            <w:r>
              <w:rPr>
                <w:b/>
                <w:color w:val="FFFFFF"/>
                <w:sz w:val="16"/>
              </w:rPr>
              <w:t>Counsel n / balance</w:t>
            </w:r>
          </w:p>
        </w:tc>
        <w:tc>
          <w:tcPr>
            <w:tcW w:type="dxa" w:w="1752"/>
            <w:shd w:fill="1F4E78"/>
            <w:vAlign w:val="center"/>
          </w:tcPr>
          <w:p>
            <w:r>
              <w:rPr>
                <w:b/>
                <w:color w:val="FFFFFF"/>
                <w:sz w:val="16"/>
              </w:rPr>
              <w:t>Escalated n</w:t>
            </w:r>
          </w:p>
        </w:tc>
      </w:tr>
      <w:tr>
        <w:tc>
          <w:tcPr>
            <w:tcW w:type="dxa" w:w="1752"/>
            <w:vAlign w:val="center"/>
          </w:tcPr>
          <w:p>
            <w:r>
              <w:rPr>
                <w:sz w:val="16"/>
              </w:rPr>
              <w:t>Jun-Aug migration</w:t>
            </w:r>
          </w:p>
        </w:tc>
        <w:tc>
          <w:tcPr>
            <w:tcW w:type="dxa" w:w="1752"/>
            <w:vAlign w:val="center"/>
          </w:tcPr>
          <w:p>
            <w:r>
              <w:rPr>
                <w:sz w:val="16"/>
              </w:rPr>
              <w:t>A - early</w:t>
            </w:r>
          </w:p>
        </w:tc>
        <w:tc>
          <w:tcPr>
            <w:tcW w:type="dxa" w:w="1752"/>
            <w:vAlign w:val="center"/>
          </w:tcPr>
          <w:p>
            <w:r>
              <w:rPr>
                <w:sz w:val="16"/>
              </w:rPr>
              <w:t>1 / $150</w:t>
            </w:r>
          </w:p>
        </w:tc>
        <w:tc>
          <w:tcPr>
            <w:tcW w:type="dxa" w:w="1752"/>
            <w:vAlign w:val="center"/>
          </w:tcPr>
          <w:p>
            <w:r>
              <w:rPr>
                <w:sz w:val="16"/>
              </w:rPr>
              <w:t>0 / $0</w:t>
            </w:r>
          </w:p>
        </w:tc>
        <w:tc>
          <w:tcPr>
            <w:tcW w:type="dxa" w:w="1752"/>
            <w:vAlign w:val="center"/>
          </w:tcPr>
          <w:p>
            <w:r>
              <w:rPr>
                <w:sz w:val="16"/>
              </w:rPr>
              <w:t>5 / $913</w:t>
            </w:r>
          </w:p>
        </w:tc>
        <w:tc>
          <w:tcPr>
            <w:tcW w:type="dxa" w:w="1752"/>
            <w:vAlign w:val="center"/>
          </w:tcPr>
          <w:p>
            <w:r>
              <w:rPr>
                <w:sz w:val="16"/>
              </w:rPr>
              <w:t>6</w:t>
            </w:r>
          </w:p>
        </w:tc>
      </w:tr>
      <w:tr>
        <w:tc>
          <w:tcPr>
            <w:tcW w:type="dxa" w:w="1752"/>
            <w:vAlign w:val="center"/>
          </w:tcPr>
          <w:p>
            <w:r>
              <w:rPr>
                <w:sz w:val="16"/>
              </w:rPr>
              <w:t>Jun-Aug migration</w:t>
            </w:r>
          </w:p>
        </w:tc>
        <w:tc>
          <w:tcPr>
            <w:tcW w:type="dxa" w:w="1752"/>
            <w:vAlign w:val="center"/>
          </w:tcPr>
          <w:p>
            <w:r>
              <w:rPr>
                <w:sz w:val="16"/>
              </w:rPr>
              <w:t>B - guarded</w:t>
            </w:r>
          </w:p>
        </w:tc>
        <w:tc>
          <w:tcPr>
            <w:tcW w:type="dxa" w:w="1752"/>
            <w:vAlign w:val="center"/>
          </w:tcPr>
          <w:p>
            <w:r>
              <w:rPr>
                <w:sz w:val="16"/>
              </w:rPr>
              <w:t>1 / $150</w:t>
            </w:r>
          </w:p>
        </w:tc>
        <w:tc>
          <w:tcPr>
            <w:tcW w:type="dxa" w:w="1752"/>
            <w:vAlign w:val="center"/>
          </w:tcPr>
          <w:p>
            <w:r>
              <w:rPr>
                <w:sz w:val="16"/>
              </w:rPr>
              <w:t>5 / $913</w:t>
            </w:r>
          </w:p>
        </w:tc>
        <w:tc>
          <w:tcPr>
            <w:tcW w:type="dxa" w:w="1752"/>
            <w:vAlign w:val="center"/>
          </w:tcPr>
          <w:p>
            <w:r>
              <w:rPr>
                <w:sz w:val="16"/>
              </w:rPr>
              <w:t>0 / $0</w:t>
            </w:r>
          </w:p>
        </w:tc>
        <w:tc>
          <w:tcPr>
            <w:tcW w:type="dxa" w:w="1752"/>
            <w:vAlign w:val="center"/>
          </w:tcPr>
          <w:p>
            <w:r>
              <w:rPr>
                <w:sz w:val="16"/>
              </w:rPr>
              <w:t>6</w:t>
            </w:r>
          </w:p>
        </w:tc>
      </w:tr>
      <w:tr>
        <w:tc>
          <w:tcPr>
            <w:tcW w:type="dxa" w:w="1752"/>
            <w:vAlign w:val="center"/>
          </w:tcPr>
          <w:p>
            <w:r>
              <w:rPr>
                <w:sz w:val="16"/>
              </w:rPr>
              <w:t>Sep-Nov steady state</w:t>
            </w:r>
          </w:p>
        </w:tc>
        <w:tc>
          <w:tcPr>
            <w:tcW w:type="dxa" w:w="1752"/>
            <w:vAlign w:val="center"/>
          </w:tcPr>
          <w:p>
            <w:r>
              <w:rPr>
                <w:sz w:val="16"/>
              </w:rPr>
              <w:t>A - early</w:t>
            </w:r>
          </w:p>
        </w:tc>
        <w:tc>
          <w:tcPr>
            <w:tcW w:type="dxa" w:w="1752"/>
            <w:vAlign w:val="center"/>
          </w:tcPr>
          <w:p>
            <w:r>
              <w:rPr>
                <w:sz w:val="16"/>
              </w:rPr>
              <w:t>1 / $150</w:t>
            </w:r>
          </w:p>
        </w:tc>
        <w:tc>
          <w:tcPr>
            <w:tcW w:type="dxa" w:w="1752"/>
            <w:vAlign w:val="center"/>
          </w:tcPr>
          <w:p>
            <w:r>
              <w:rPr>
                <w:sz w:val="16"/>
              </w:rPr>
              <w:t>0 / $0</w:t>
            </w:r>
          </w:p>
        </w:tc>
        <w:tc>
          <w:tcPr>
            <w:tcW w:type="dxa" w:w="1752"/>
            <w:vAlign w:val="center"/>
          </w:tcPr>
          <w:p>
            <w:r>
              <w:rPr>
                <w:sz w:val="16"/>
              </w:rPr>
              <w:t>5 / $665</w:t>
            </w:r>
          </w:p>
        </w:tc>
        <w:tc>
          <w:tcPr>
            <w:tcW w:type="dxa" w:w="1752"/>
            <w:vAlign w:val="center"/>
          </w:tcPr>
          <w:p>
            <w:r>
              <w:rPr>
                <w:sz w:val="16"/>
              </w:rPr>
              <w:t>6</w:t>
            </w:r>
          </w:p>
        </w:tc>
      </w:tr>
      <w:tr>
        <w:tc>
          <w:tcPr>
            <w:tcW w:type="dxa" w:w="1752"/>
            <w:vAlign w:val="center"/>
          </w:tcPr>
          <w:p>
            <w:r>
              <w:rPr>
                <w:sz w:val="16"/>
              </w:rPr>
              <w:t>Sep-Nov steady state</w:t>
            </w:r>
          </w:p>
        </w:tc>
        <w:tc>
          <w:tcPr>
            <w:tcW w:type="dxa" w:w="1752"/>
            <w:vAlign w:val="center"/>
          </w:tcPr>
          <w:p>
            <w:r>
              <w:rPr>
                <w:sz w:val="16"/>
              </w:rPr>
              <w:t>B - guarded</w:t>
            </w:r>
          </w:p>
        </w:tc>
        <w:tc>
          <w:tcPr>
            <w:tcW w:type="dxa" w:w="1752"/>
            <w:vAlign w:val="center"/>
          </w:tcPr>
          <w:p>
            <w:r>
              <w:rPr>
                <w:sz w:val="16"/>
              </w:rPr>
              <w:t>1 / $150</w:t>
            </w:r>
          </w:p>
        </w:tc>
        <w:tc>
          <w:tcPr>
            <w:tcW w:type="dxa" w:w="1752"/>
            <w:vAlign w:val="center"/>
          </w:tcPr>
          <w:p>
            <w:r>
              <w:rPr>
                <w:sz w:val="16"/>
              </w:rPr>
              <w:t>5 / $665</w:t>
            </w:r>
          </w:p>
        </w:tc>
        <w:tc>
          <w:tcPr>
            <w:tcW w:type="dxa" w:w="1752"/>
            <w:vAlign w:val="center"/>
          </w:tcPr>
          <w:p>
            <w:r>
              <w:rPr>
                <w:sz w:val="16"/>
              </w:rPr>
              <w:t>0 / $0</w:t>
            </w:r>
          </w:p>
        </w:tc>
        <w:tc>
          <w:tcPr>
            <w:tcW w:type="dxa" w:w="1752"/>
            <w:vAlign w:val="center"/>
          </w:tcPr>
          <w:p>
            <w:r>
              <w:rPr>
                <w:sz w:val="16"/>
              </w:rPr>
              <w:t>6</w:t>
            </w:r>
          </w:p>
        </w:tc>
      </w:tr>
      <w:tr>
        <w:tc>
          <w:tcPr>
            <w:tcW w:type="dxa" w:w="1752"/>
            <w:vAlign w:val="center"/>
          </w:tcPr>
          <w:p>
            <w:r>
              <w:rPr>
                <w:sz w:val="16"/>
              </w:rPr>
              <w:t>Dec close</w:t>
            </w:r>
          </w:p>
        </w:tc>
        <w:tc>
          <w:tcPr>
            <w:tcW w:type="dxa" w:w="1752"/>
            <w:vAlign w:val="center"/>
          </w:tcPr>
          <w:p>
            <w:r>
              <w:rPr>
                <w:sz w:val="16"/>
              </w:rPr>
              <w:t>A - early</w:t>
            </w:r>
          </w:p>
        </w:tc>
        <w:tc>
          <w:tcPr>
            <w:tcW w:type="dxa" w:w="1752"/>
            <w:vAlign w:val="center"/>
          </w:tcPr>
          <w:p>
            <w:r>
              <w:rPr>
                <w:sz w:val="16"/>
              </w:rPr>
              <w:t>1 / $150</w:t>
            </w:r>
          </w:p>
        </w:tc>
        <w:tc>
          <w:tcPr>
            <w:tcW w:type="dxa" w:w="1752"/>
            <w:vAlign w:val="center"/>
          </w:tcPr>
          <w:p>
            <w:r>
              <w:rPr>
                <w:sz w:val="16"/>
              </w:rPr>
              <w:t>0 / $0</w:t>
            </w:r>
          </w:p>
        </w:tc>
        <w:tc>
          <w:tcPr>
            <w:tcW w:type="dxa" w:w="1752"/>
            <w:vAlign w:val="center"/>
          </w:tcPr>
          <w:p>
            <w:r>
              <w:rPr>
                <w:sz w:val="16"/>
              </w:rPr>
              <w:t>5 / $665</w:t>
            </w:r>
          </w:p>
        </w:tc>
        <w:tc>
          <w:tcPr>
            <w:tcW w:type="dxa" w:w="1752"/>
            <w:vAlign w:val="center"/>
          </w:tcPr>
          <w:p>
            <w:r>
              <w:rPr>
                <w:sz w:val="16"/>
              </w:rPr>
              <w:t>6</w:t>
            </w:r>
          </w:p>
        </w:tc>
      </w:tr>
      <w:tr>
        <w:tc>
          <w:tcPr>
            <w:tcW w:type="dxa" w:w="1752"/>
            <w:vAlign w:val="center"/>
          </w:tcPr>
          <w:p>
            <w:r>
              <w:rPr>
                <w:sz w:val="16"/>
              </w:rPr>
              <w:t>Dec close</w:t>
            </w:r>
          </w:p>
        </w:tc>
        <w:tc>
          <w:tcPr>
            <w:tcW w:type="dxa" w:w="1752"/>
            <w:vAlign w:val="center"/>
          </w:tcPr>
          <w:p>
            <w:r>
              <w:rPr>
                <w:sz w:val="16"/>
              </w:rPr>
              <w:t>B - guarded</w:t>
            </w:r>
          </w:p>
        </w:tc>
        <w:tc>
          <w:tcPr>
            <w:tcW w:type="dxa" w:w="1752"/>
            <w:vAlign w:val="center"/>
          </w:tcPr>
          <w:p>
            <w:r>
              <w:rPr>
                <w:sz w:val="16"/>
              </w:rPr>
              <w:t>1 / $150</w:t>
            </w:r>
          </w:p>
        </w:tc>
        <w:tc>
          <w:tcPr>
            <w:tcW w:type="dxa" w:w="1752"/>
            <w:vAlign w:val="center"/>
          </w:tcPr>
          <w:p>
            <w:r>
              <w:rPr>
                <w:sz w:val="16"/>
              </w:rPr>
              <w:t>5 / $665</w:t>
            </w:r>
          </w:p>
        </w:tc>
        <w:tc>
          <w:tcPr>
            <w:tcW w:type="dxa" w:w="1752"/>
            <w:vAlign w:val="center"/>
          </w:tcPr>
          <w:p>
            <w:r>
              <w:rPr>
                <w:sz w:val="16"/>
              </w:rPr>
              <w:t>0 / $0</w:t>
            </w:r>
          </w:p>
        </w:tc>
        <w:tc>
          <w:tcPr>
            <w:tcW w:type="dxa" w:w="1752"/>
            <w:vAlign w:val="center"/>
          </w:tcPr>
          <w:p>
            <w:r>
              <w:rPr>
                <w:sz w:val="16"/>
              </w:rPr>
              <w:t>6</w:t>
            </w:r>
          </w:p>
        </w:tc>
      </w:tr>
    </w:tbl>
    <w:p>
      <w:r>
        <w:rPr>
          <w:b w:val="0"/>
        </w:rPr>
        <w:t>Definitions are held constant: at each period endpoint, use the latest account snapshot, include only amounts due on or before that observation date, subtract posted payments/credits, exclude nonpositive balances, apply note overrides, then assign one highest applicable tier (counsel &gt; demand &gt; courtesy).</w:t>
      </w:r>
    </w:p>
    <w:p>
      <w:pPr>
        <w:pStyle w:val="Heading1"/>
      </w:pPr>
      <w:r>
        <w:t>2. January projection and special-assessment effect</w:t>
      </w:r>
    </w:p>
    <w:tbl>
      <w:tblPr>
        <w:tblStyle w:val="TableGrid"/>
        <w:tblW w:type="auto" w:w="0"/>
        <w:jc w:val="center"/>
        <w:tblLook w:firstColumn="1" w:firstRow="1" w:lastColumn="0" w:lastRow="0" w:noHBand="0" w:noVBand="1" w:val="04A0"/>
      </w:tblPr>
      <w:tblGrid>
        <w:gridCol w:w="1168"/>
        <w:gridCol w:w="1168"/>
        <w:gridCol w:w="1168"/>
        <w:gridCol w:w="1168"/>
        <w:gridCol w:w="1168"/>
        <w:gridCol w:w="1168"/>
        <w:gridCol w:w="1168"/>
        <w:gridCol w:w="1168"/>
        <w:gridCol w:w="1168"/>
      </w:tblGrid>
      <w:tr>
        <w:tc>
          <w:tcPr>
            <w:tcW w:type="dxa" w:w="1168"/>
            <w:shd w:fill="1F4E78"/>
            <w:vAlign w:val="center"/>
          </w:tcPr>
          <w:p>
            <w:r>
              <w:rPr>
                <w:b/>
                <w:color w:val="FFFFFF"/>
                <w:sz w:val="16"/>
              </w:rPr>
              <w:t>Alternative</w:t>
            </w:r>
          </w:p>
        </w:tc>
        <w:tc>
          <w:tcPr>
            <w:tcW w:type="dxa" w:w="1168"/>
            <w:shd w:fill="1F4E78"/>
            <w:vAlign w:val="center"/>
          </w:tcPr>
          <w:p>
            <w:r>
              <w:rPr>
                <w:b/>
                <w:color w:val="FFFFFF"/>
                <w:sz w:val="16"/>
              </w:rPr>
              <w:t>Call n</w:t>
            </w:r>
          </w:p>
        </w:tc>
        <w:tc>
          <w:tcPr>
            <w:tcW w:type="dxa" w:w="1168"/>
            <w:shd w:fill="1F4E78"/>
            <w:vAlign w:val="center"/>
          </w:tcPr>
          <w:p>
            <w:r>
              <w:rPr>
                <w:b/>
                <w:color w:val="FFFFFF"/>
                <w:sz w:val="16"/>
              </w:rPr>
              <w:t>Call bal</w:t>
            </w:r>
          </w:p>
        </w:tc>
        <w:tc>
          <w:tcPr>
            <w:tcW w:type="dxa" w:w="1168"/>
            <w:shd w:fill="1F4E78"/>
            <w:vAlign w:val="center"/>
          </w:tcPr>
          <w:p>
            <w:r>
              <w:rPr>
                <w:b/>
                <w:color w:val="FFFFFF"/>
                <w:sz w:val="16"/>
              </w:rPr>
              <w:t>Demand n</w:t>
            </w:r>
          </w:p>
        </w:tc>
        <w:tc>
          <w:tcPr>
            <w:tcW w:type="dxa" w:w="1168"/>
            <w:shd w:fill="1F4E78"/>
            <w:vAlign w:val="center"/>
          </w:tcPr>
          <w:p>
            <w:r>
              <w:rPr>
                <w:b/>
                <w:color w:val="FFFFFF"/>
                <w:sz w:val="16"/>
              </w:rPr>
              <w:t>Demand bal</w:t>
            </w:r>
          </w:p>
        </w:tc>
        <w:tc>
          <w:tcPr>
            <w:tcW w:type="dxa" w:w="1168"/>
            <w:shd w:fill="1F4E78"/>
            <w:vAlign w:val="center"/>
          </w:tcPr>
          <w:p>
            <w:r>
              <w:rPr>
                <w:b/>
                <w:color w:val="FFFFFF"/>
                <w:sz w:val="16"/>
              </w:rPr>
              <w:t>Counsel n</w:t>
            </w:r>
          </w:p>
        </w:tc>
        <w:tc>
          <w:tcPr>
            <w:tcW w:type="dxa" w:w="1168"/>
            <w:shd w:fill="1F4E78"/>
            <w:vAlign w:val="center"/>
          </w:tcPr>
          <w:p>
            <w:r>
              <w:rPr>
                <w:b/>
                <w:color w:val="FFFFFF"/>
                <w:sz w:val="16"/>
              </w:rPr>
              <w:t>Counsel bal</w:t>
            </w:r>
          </w:p>
        </w:tc>
        <w:tc>
          <w:tcPr>
            <w:tcW w:type="dxa" w:w="1168"/>
            <w:shd w:fill="1F4E78"/>
            <w:vAlign w:val="center"/>
          </w:tcPr>
          <w:p>
            <w:r>
              <w:rPr>
                <w:b/>
                <w:color w:val="FFFFFF"/>
                <w:sz w:val="16"/>
              </w:rPr>
              <w:t>Total n</w:t>
            </w:r>
          </w:p>
        </w:tc>
        <w:tc>
          <w:tcPr>
            <w:tcW w:type="dxa" w:w="1168"/>
            <w:shd w:fill="1F4E78"/>
            <w:vAlign w:val="center"/>
          </w:tcPr>
          <w:p>
            <w:r>
              <w:rPr>
                <w:b/>
                <w:color w:val="FFFFFF"/>
                <w:sz w:val="16"/>
              </w:rPr>
              <w:t>Total cost</w:t>
            </w:r>
          </w:p>
        </w:tc>
      </w:tr>
      <w:tr>
        <w:tc>
          <w:tcPr>
            <w:tcW w:type="dxa" w:w="1168"/>
            <w:vAlign w:val="center"/>
          </w:tcPr>
          <w:p>
            <w:r>
              <w:rPr>
                <w:sz w:val="16"/>
              </w:rPr>
              <w:t>A - early</w:t>
            </w:r>
          </w:p>
        </w:tc>
        <w:tc>
          <w:tcPr>
            <w:tcW w:type="dxa" w:w="1168"/>
            <w:vAlign w:val="center"/>
          </w:tcPr>
          <w:p>
            <w:r>
              <w:rPr>
                <w:sz w:val="16"/>
              </w:rPr>
              <w:t>1</w:t>
            </w:r>
          </w:p>
        </w:tc>
        <w:tc>
          <w:tcPr>
            <w:tcW w:type="dxa" w:w="1168"/>
            <w:vAlign w:val="center"/>
          </w:tcPr>
          <w:p>
            <w:r>
              <w:rPr>
                <w:sz w:val="16"/>
              </w:rPr>
              <w:t>$440</w:t>
            </w:r>
          </w:p>
        </w:tc>
        <w:tc>
          <w:tcPr>
            <w:tcW w:type="dxa" w:w="1168"/>
            <w:vAlign w:val="center"/>
          </w:tcPr>
          <w:p>
            <w:r>
              <w:rPr>
                <w:sz w:val="16"/>
              </w:rPr>
              <w:t>8</w:t>
            </w:r>
          </w:p>
        </w:tc>
        <w:tc>
          <w:tcPr>
            <w:tcW w:type="dxa" w:w="1168"/>
            <w:vAlign w:val="center"/>
          </w:tcPr>
          <w:p>
            <w:r>
              <w:rPr>
                <w:sz w:val="16"/>
              </w:rPr>
              <w:t>$1,800</w:t>
            </w:r>
          </w:p>
        </w:tc>
        <w:tc>
          <w:tcPr>
            <w:tcW w:type="dxa" w:w="1168"/>
            <w:vAlign w:val="center"/>
          </w:tcPr>
          <w:p>
            <w:r>
              <w:rPr>
                <w:sz w:val="16"/>
              </w:rPr>
              <w:t>2</w:t>
            </w:r>
          </w:p>
        </w:tc>
        <w:tc>
          <w:tcPr>
            <w:tcW w:type="dxa" w:w="1168"/>
            <w:vAlign w:val="center"/>
          </w:tcPr>
          <w:p>
            <w:r>
              <w:rPr>
                <w:sz w:val="16"/>
              </w:rPr>
              <w:t>$930</w:t>
            </w:r>
          </w:p>
        </w:tc>
        <w:tc>
          <w:tcPr>
            <w:tcW w:type="dxa" w:w="1168"/>
            <w:vAlign w:val="center"/>
          </w:tcPr>
          <w:p>
            <w:r>
              <w:rPr>
                <w:sz w:val="16"/>
              </w:rPr>
              <w:t>11</w:t>
            </w:r>
          </w:p>
        </w:tc>
        <w:tc>
          <w:tcPr>
            <w:tcW w:type="dxa" w:w="1168"/>
            <w:vAlign w:val="center"/>
          </w:tcPr>
          <w:p>
            <w:r>
              <w:rPr>
                <w:sz w:val="16"/>
              </w:rPr>
              <w:t>$594</w:t>
            </w:r>
          </w:p>
        </w:tc>
      </w:tr>
      <w:tr>
        <w:tc>
          <w:tcPr>
            <w:tcW w:type="dxa" w:w="1168"/>
            <w:vAlign w:val="center"/>
          </w:tcPr>
          <w:p>
            <w:r>
              <w:rPr>
                <w:sz w:val="16"/>
              </w:rPr>
              <w:t>B - guarded</w:t>
            </w:r>
          </w:p>
        </w:tc>
        <w:tc>
          <w:tcPr>
            <w:tcW w:type="dxa" w:w="1168"/>
            <w:vAlign w:val="center"/>
          </w:tcPr>
          <w:p>
            <w:r>
              <w:rPr>
                <w:sz w:val="16"/>
              </w:rPr>
              <w:t>8</w:t>
            </w:r>
          </w:p>
        </w:tc>
        <w:tc>
          <w:tcPr>
            <w:tcW w:type="dxa" w:w="1168"/>
            <w:vAlign w:val="center"/>
          </w:tcPr>
          <w:p>
            <w:r>
              <w:rPr>
                <w:sz w:val="16"/>
              </w:rPr>
              <w:t>$1,865</w:t>
            </w:r>
          </w:p>
        </w:tc>
        <w:tc>
          <w:tcPr>
            <w:tcW w:type="dxa" w:w="1168"/>
            <w:vAlign w:val="center"/>
          </w:tcPr>
          <w:p>
            <w:r>
              <w:rPr>
                <w:sz w:val="16"/>
              </w:rPr>
              <w:t>1</w:t>
            </w:r>
          </w:p>
        </w:tc>
        <w:tc>
          <w:tcPr>
            <w:tcW w:type="dxa" w:w="1168"/>
            <w:vAlign w:val="center"/>
          </w:tcPr>
          <w:p>
            <w:r>
              <w:rPr>
                <w:sz w:val="16"/>
              </w:rPr>
              <w:t>$375</w:t>
            </w:r>
          </w:p>
        </w:tc>
        <w:tc>
          <w:tcPr>
            <w:tcW w:type="dxa" w:w="1168"/>
            <w:vAlign w:val="center"/>
          </w:tcPr>
          <w:p>
            <w:r>
              <w:rPr>
                <w:sz w:val="16"/>
              </w:rPr>
              <w:t>2</w:t>
            </w:r>
          </w:p>
        </w:tc>
        <w:tc>
          <w:tcPr>
            <w:tcW w:type="dxa" w:w="1168"/>
            <w:vAlign w:val="center"/>
          </w:tcPr>
          <w:p>
            <w:r>
              <w:rPr>
                <w:sz w:val="16"/>
              </w:rPr>
              <w:t>$930</w:t>
            </w:r>
          </w:p>
        </w:tc>
        <w:tc>
          <w:tcPr>
            <w:tcW w:type="dxa" w:w="1168"/>
            <w:vAlign w:val="center"/>
          </w:tcPr>
          <w:p>
            <w:r>
              <w:rPr>
                <w:sz w:val="16"/>
              </w:rPr>
              <w:t>11</w:t>
            </w:r>
          </w:p>
        </w:tc>
        <w:tc>
          <w:tcPr>
            <w:tcW w:type="dxa" w:w="1168"/>
            <w:vAlign w:val="center"/>
          </w:tcPr>
          <w:p>
            <w:r>
              <w:rPr>
                <w:sz w:val="16"/>
              </w:rPr>
              <w:t>$546</w:t>
            </w:r>
          </w:p>
        </w:tc>
      </w:tr>
    </w:tbl>
    <w:p>
      <w:r>
        <w:rPr>
          <w:b w:val="0"/>
        </w:rPr>
        <w:t>January observation date is 10 January 2026. Ordinary dues are due 1 January; the first special-assessment installment is due 5 January. Installment deferrals in account notes change the due date before eligibility is tested.</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F4E78"/>
            <w:vAlign w:val="center"/>
          </w:tcPr>
          <w:p>
            <w:r>
              <w:rPr>
                <w:b/>
                <w:color w:val="FFFFFF"/>
                <w:sz w:val="16"/>
              </w:rPr>
              <w:t>Alternative</w:t>
            </w:r>
          </w:p>
        </w:tc>
        <w:tc>
          <w:tcPr>
            <w:tcW w:type="dxa" w:w="2628"/>
            <w:shd w:fill="1F4E78"/>
            <w:vAlign w:val="center"/>
          </w:tcPr>
          <w:p>
            <w:r>
              <w:rPr>
                <w:b/>
                <w:color w:val="FFFFFF"/>
                <w:sz w:val="16"/>
              </w:rPr>
              <w:t>Escalated accounts (with / without installment)</w:t>
            </w:r>
          </w:p>
        </w:tc>
        <w:tc>
          <w:tcPr>
            <w:tcW w:type="dxa" w:w="2628"/>
            <w:shd w:fill="1F4E78"/>
            <w:vAlign w:val="center"/>
          </w:tcPr>
          <w:p>
            <w:r>
              <w:rPr>
                <w:b/>
                <w:color w:val="FFFFFF"/>
                <w:sz w:val="16"/>
              </w:rPr>
              <w:t>Incremental accounts</w:t>
            </w:r>
          </w:p>
        </w:tc>
        <w:tc>
          <w:tcPr>
            <w:tcW w:type="dxa" w:w="2628"/>
            <w:shd w:fill="1F4E78"/>
            <w:vAlign w:val="center"/>
          </w:tcPr>
          <w:p>
            <w:r>
              <w:rPr>
                <w:b/>
                <w:color w:val="FFFFFF"/>
                <w:sz w:val="16"/>
              </w:rPr>
              <w:t>Incremental balance</w:t>
            </w:r>
          </w:p>
        </w:tc>
      </w:tr>
      <w:tr>
        <w:tc>
          <w:tcPr>
            <w:tcW w:type="dxa" w:w="2628"/>
            <w:vAlign w:val="center"/>
          </w:tcPr>
          <w:p>
            <w:r>
              <w:rPr>
                <w:sz w:val="16"/>
              </w:rPr>
              <w:t>A - early</w:t>
            </w:r>
          </w:p>
        </w:tc>
        <w:tc>
          <w:tcPr>
            <w:tcW w:type="dxa" w:w="2628"/>
            <w:vAlign w:val="center"/>
          </w:tcPr>
          <w:p>
            <w:r>
              <w:rPr>
                <w:sz w:val="16"/>
              </w:rPr>
              <w:t>11 with / 6 without</w:t>
            </w:r>
          </w:p>
        </w:tc>
        <w:tc>
          <w:tcPr>
            <w:tcW w:type="dxa" w:w="2628"/>
            <w:vAlign w:val="center"/>
          </w:tcPr>
          <w:p>
            <w:r>
              <w:rPr>
                <w:sz w:val="16"/>
              </w:rPr>
              <w:t>+5</w:t>
            </w:r>
          </w:p>
        </w:tc>
        <w:tc>
          <w:tcPr>
            <w:tcW w:type="dxa" w:w="2628"/>
            <w:vAlign w:val="center"/>
          </w:tcPr>
          <w:p>
            <w:r>
              <w:rPr>
                <w:sz w:val="16"/>
              </w:rPr>
              <w:t>$2,100</w:t>
            </w:r>
          </w:p>
        </w:tc>
      </w:tr>
      <w:tr>
        <w:tc>
          <w:tcPr>
            <w:tcW w:type="dxa" w:w="2628"/>
            <w:vAlign w:val="center"/>
          </w:tcPr>
          <w:p>
            <w:r>
              <w:rPr>
                <w:sz w:val="16"/>
              </w:rPr>
              <w:t>B - guarded</w:t>
            </w:r>
          </w:p>
        </w:tc>
        <w:tc>
          <w:tcPr>
            <w:tcW w:type="dxa" w:w="2628"/>
            <w:vAlign w:val="center"/>
          </w:tcPr>
          <w:p>
            <w:r>
              <w:rPr>
                <w:sz w:val="16"/>
              </w:rPr>
              <w:t>11 with / 6 without</w:t>
            </w:r>
          </w:p>
        </w:tc>
        <w:tc>
          <w:tcPr>
            <w:tcW w:type="dxa" w:w="2628"/>
            <w:vAlign w:val="center"/>
          </w:tcPr>
          <w:p>
            <w:r>
              <w:rPr>
                <w:sz w:val="16"/>
              </w:rPr>
              <w:t>+5</w:t>
            </w:r>
          </w:p>
        </w:tc>
        <w:tc>
          <w:tcPr>
            <w:tcW w:type="dxa" w:w="2628"/>
            <w:vAlign w:val="center"/>
          </w:tcPr>
          <w:p>
            <w:r>
              <w:rPr>
                <w:sz w:val="16"/>
              </w:rPr>
              <w:t>$2,100</w:t>
            </w:r>
          </w:p>
        </w:tc>
      </w:tr>
    </w:tbl>
    <w:p>
      <w:pPr>
        <w:pStyle w:val="Heading1"/>
      </w:pPr>
      <w:r>
        <w:t>3. Executable trigger alternatives</w:t>
      </w:r>
    </w:p>
    <w:p>
      <w:r>
        <w:rPr>
          <w:b w:val="0"/>
        </w:rPr>
        <w:t>Eligibility gate for both alternatives: recomputed balance &gt; $0 and at least one amount due on or before the observation date. A due date after the observation date creates no eligible delinquent balance. Equality is explicit in every boundary below. Apply account-note overrides after this gate and before final tier assignment.</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F4E78"/>
            <w:vAlign w:val="center"/>
          </w:tcPr>
          <w:p>
            <w:r>
              <w:rPr>
                <w:b/>
                <w:color w:val="FFFFFF"/>
                <w:sz w:val="16"/>
              </w:rPr>
              <w:t>Alternative</w:t>
            </w:r>
          </w:p>
        </w:tc>
        <w:tc>
          <w:tcPr>
            <w:tcW w:type="dxa" w:w="2628"/>
            <w:shd w:fill="1F4E78"/>
            <w:vAlign w:val="center"/>
          </w:tcPr>
          <w:p>
            <w:r>
              <w:rPr>
                <w:b/>
                <w:color w:val="FFFFFF"/>
                <w:sz w:val="16"/>
              </w:rPr>
              <w:t>Tier</w:t>
            </w:r>
          </w:p>
        </w:tc>
        <w:tc>
          <w:tcPr>
            <w:tcW w:type="dxa" w:w="2628"/>
            <w:shd w:fill="1F4E78"/>
            <w:vAlign w:val="center"/>
          </w:tcPr>
          <w:p>
            <w:r>
              <w:rPr>
                <w:b/>
                <w:color w:val="FFFFFF"/>
                <w:sz w:val="16"/>
              </w:rPr>
              <w:t>Machine-applicable predicate (inclusive operators)</w:t>
            </w:r>
          </w:p>
        </w:tc>
        <w:tc>
          <w:tcPr>
            <w:tcW w:type="dxa" w:w="2628"/>
            <w:shd w:fill="1F4E78"/>
            <w:vAlign w:val="center"/>
          </w:tcPr>
          <w:p>
            <w:r>
              <w:rPr>
                <w:b/>
                <w:color w:val="FFFFFF"/>
                <w:sz w:val="16"/>
              </w:rPr>
              <w:t>Precedence / exception treatment</w:t>
            </w:r>
          </w:p>
        </w:tc>
      </w:tr>
      <w:tr>
        <w:tc>
          <w:tcPr>
            <w:tcW w:type="dxa" w:w="2628"/>
            <w:vAlign w:val="center"/>
          </w:tcPr>
          <w:p>
            <w:r>
              <w:rPr>
                <w:sz w:val="16"/>
              </w:rPr>
              <w:t>A - early</w:t>
            </w:r>
          </w:p>
        </w:tc>
        <w:tc>
          <w:tcPr>
            <w:tcW w:type="dxa" w:w="2628"/>
            <w:vAlign w:val="center"/>
          </w:tcPr>
          <w:p>
            <w:r>
              <w:rPr>
                <w:sz w:val="16"/>
              </w:rPr>
              <w:t>Courtesy call</w:t>
            </w:r>
          </w:p>
        </w:tc>
        <w:tc>
          <w:tcPr>
            <w:tcW w:type="dxa" w:w="2628"/>
            <w:vAlign w:val="center"/>
          </w:tcPr>
          <w:p>
            <w:r>
              <w:rPr>
                <w:sz w:val="16"/>
              </w:rPr>
              <w:t>age &gt;= 1 day; balance &gt; $0; due date &lt;= observation date</w:t>
            </w:r>
          </w:p>
        </w:tc>
        <w:tc>
          <w:tcPr>
            <w:tcW w:type="dxa" w:w="2628"/>
            <w:vAlign w:val="center"/>
          </w:tcPr>
          <w:p>
            <w:r>
              <w:rPr>
                <w:sz w:val="16"/>
              </w:rPr>
              <w:t>Counsel first, then demand, then courtesy</w:t>
            </w:r>
          </w:p>
        </w:tc>
      </w:tr>
      <w:tr>
        <w:tc>
          <w:tcPr>
            <w:tcW w:type="dxa" w:w="2628"/>
            <w:vAlign w:val="center"/>
          </w:tcPr>
          <w:p>
            <w:r>
              <w:rPr>
                <w:sz w:val="16"/>
              </w:rPr>
              <w:t>A - early</w:t>
            </w:r>
          </w:p>
        </w:tc>
        <w:tc>
          <w:tcPr>
            <w:tcW w:type="dxa" w:w="2628"/>
            <w:vAlign w:val="center"/>
          </w:tcPr>
          <w:p>
            <w:r>
              <w:rPr>
                <w:sz w:val="16"/>
              </w:rPr>
              <w:t>Demand letter</w:t>
            </w:r>
          </w:p>
        </w:tc>
        <w:tc>
          <w:tcPr>
            <w:tcW w:type="dxa" w:w="2628"/>
            <w:vAlign w:val="center"/>
          </w:tcPr>
          <w:p>
            <w:r>
              <w:rPr>
                <w:sz w:val="16"/>
              </w:rPr>
              <w:t>age &gt;= 8 days OR balance &gt;= $300; same due/balance gate</w:t>
            </w:r>
          </w:p>
        </w:tc>
        <w:tc>
          <w:tcPr>
            <w:tcW w:type="dxa" w:w="2628"/>
            <w:vAlign w:val="center"/>
          </w:tcPr>
          <w:p>
            <w:r>
              <w:rPr>
                <w:sz w:val="16"/>
              </w:rPr>
              <w:t>Call-only notes remain courtesy only</w:t>
            </w:r>
          </w:p>
        </w:tc>
      </w:tr>
      <w:tr>
        <w:tc>
          <w:tcPr>
            <w:tcW w:type="dxa" w:w="2628"/>
            <w:vAlign w:val="center"/>
          </w:tcPr>
          <w:p>
            <w:r>
              <w:rPr>
                <w:sz w:val="16"/>
              </w:rPr>
              <w:t>A - early</w:t>
            </w:r>
          </w:p>
        </w:tc>
        <w:tc>
          <w:tcPr>
            <w:tcW w:type="dxa" w:w="2628"/>
            <w:vAlign w:val="center"/>
          </w:tcPr>
          <w:p>
            <w:r>
              <w:rPr>
                <w:sz w:val="16"/>
              </w:rPr>
              <w:t>Counsel referral</w:t>
            </w:r>
          </w:p>
        </w:tc>
        <w:tc>
          <w:tcPr>
            <w:tcW w:type="dxa" w:w="2628"/>
            <w:vAlign w:val="center"/>
          </w:tcPr>
          <w:p>
            <w:r>
              <w:rPr>
                <w:sz w:val="16"/>
              </w:rPr>
              <w:t>age &gt;= 20 days OR balance &gt;= $450; same due/balance gate</w:t>
            </w:r>
          </w:p>
        </w:tc>
        <w:tc>
          <w:tcPr>
            <w:tcW w:type="dxa" w:w="2628"/>
            <w:vAlign w:val="center"/>
          </w:tcPr>
          <w:p>
            <w:r>
              <w:rPr>
                <w:sz w:val="16"/>
              </w:rPr>
              <w:t>Current payment-plan hold suppresses all tiers</w:t>
            </w:r>
          </w:p>
        </w:tc>
      </w:tr>
      <w:tr>
        <w:tc>
          <w:tcPr>
            <w:tcW w:type="dxa" w:w="2628"/>
            <w:vAlign w:val="center"/>
          </w:tcPr>
          <w:p>
            <w:r>
              <w:rPr>
                <w:sz w:val="16"/>
              </w:rPr>
              <w:t>B - guarded</w:t>
            </w:r>
          </w:p>
        </w:tc>
        <w:tc>
          <w:tcPr>
            <w:tcW w:type="dxa" w:w="2628"/>
            <w:vAlign w:val="center"/>
          </w:tcPr>
          <w:p>
            <w:r>
              <w:rPr>
                <w:sz w:val="16"/>
              </w:rPr>
              <w:t>Courtesy call</w:t>
            </w:r>
          </w:p>
        </w:tc>
        <w:tc>
          <w:tcPr>
            <w:tcW w:type="dxa" w:w="2628"/>
            <w:vAlign w:val="center"/>
          </w:tcPr>
          <w:p>
            <w:r>
              <w:rPr>
                <w:sz w:val="16"/>
              </w:rPr>
              <w:t>age &gt;= 8 days; balance &gt; $0; due date &lt;= observation date</w:t>
            </w:r>
          </w:p>
        </w:tc>
        <w:tc>
          <w:tcPr>
            <w:tcW w:type="dxa" w:w="2628"/>
            <w:vAlign w:val="center"/>
          </w:tcPr>
          <w:p>
            <w:r>
              <w:rPr>
                <w:sz w:val="16"/>
              </w:rPr>
              <w:t>Counsel first, then demand, then courtesy</w:t>
            </w:r>
          </w:p>
        </w:tc>
      </w:tr>
      <w:tr>
        <w:tc>
          <w:tcPr>
            <w:tcW w:type="dxa" w:w="2628"/>
            <w:vAlign w:val="center"/>
          </w:tcPr>
          <w:p>
            <w:r>
              <w:rPr>
                <w:sz w:val="16"/>
              </w:rPr>
              <w:t>B - guarded</w:t>
            </w:r>
          </w:p>
        </w:tc>
        <w:tc>
          <w:tcPr>
            <w:tcW w:type="dxa" w:w="2628"/>
            <w:vAlign w:val="center"/>
          </w:tcPr>
          <w:p>
            <w:r>
              <w:rPr>
                <w:sz w:val="16"/>
              </w:rPr>
              <w:t>Demand letter</w:t>
            </w:r>
          </w:p>
        </w:tc>
        <w:tc>
          <w:tcPr>
            <w:tcW w:type="dxa" w:w="2628"/>
            <w:vAlign w:val="center"/>
          </w:tcPr>
          <w:p>
            <w:r>
              <w:rPr>
                <w:sz w:val="16"/>
              </w:rPr>
              <w:t>age &gt;= 15 days OR balance &gt;= $300; same due/balance gate</w:t>
            </w:r>
          </w:p>
        </w:tc>
        <w:tc>
          <w:tcPr>
            <w:tcW w:type="dxa" w:w="2628"/>
            <w:vAlign w:val="center"/>
          </w:tcPr>
          <w:p>
            <w:r>
              <w:rPr>
                <w:sz w:val="16"/>
              </w:rPr>
              <w:t>Call-only notes remain courtesy only</w:t>
            </w:r>
          </w:p>
        </w:tc>
      </w:tr>
      <w:tr>
        <w:tc>
          <w:tcPr>
            <w:tcW w:type="dxa" w:w="2628"/>
            <w:vAlign w:val="center"/>
          </w:tcPr>
          <w:p>
            <w:r>
              <w:rPr>
                <w:sz w:val="16"/>
              </w:rPr>
              <w:t>B - guarded</w:t>
            </w:r>
          </w:p>
        </w:tc>
        <w:tc>
          <w:tcPr>
            <w:tcW w:type="dxa" w:w="2628"/>
            <w:vAlign w:val="center"/>
          </w:tcPr>
          <w:p>
            <w:r>
              <w:rPr>
                <w:sz w:val="16"/>
              </w:rPr>
              <w:t>Counsel referral</w:t>
            </w:r>
          </w:p>
        </w:tc>
        <w:tc>
          <w:tcPr>
            <w:tcW w:type="dxa" w:w="2628"/>
            <w:vAlign w:val="center"/>
          </w:tcPr>
          <w:p>
            <w:r>
              <w:rPr>
                <w:sz w:val="16"/>
              </w:rPr>
              <w:t>age &gt;= 30 days OR balance &gt;= $450; same due/balance gate</w:t>
            </w:r>
          </w:p>
        </w:tc>
        <w:tc>
          <w:tcPr>
            <w:tcW w:type="dxa" w:w="2628"/>
            <w:vAlign w:val="center"/>
          </w:tcPr>
          <w:p>
            <w:r>
              <w:rPr>
                <w:sz w:val="16"/>
              </w:rPr>
              <w:t>Current payment-plan hold suppresses all tiers</w:t>
            </w:r>
          </w:p>
        </w:tc>
      </w:tr>
    </w:tbl>
    <w:p>
      <w:r>
        <w:rPr>
          <w:b w:val="0"/>
        </w:rPr>
        <w:t>Age is calendar days from the applicable due date to the observation date. A call-only restriction suppresses demand and counsel but permits courtesy when its predicate is met. A current payment-plan hold suppresses courtesy, demand, and counsel. An installment deferral changes the applicable due date through its stated deferral date. Thus each account appears in no more than one final tier.</w:t>
      </w:r>
    </w:p>
    <w:p>
      <w:pPr>
        <w:pStyle w:val="Heading1"/>
      </w:pPr>
      <w:r>
        <w:t>4. Workload and cost consequences</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502"/>
            <w:shd w:fill="1F4E78"/>
            <w:vAlign w:val="center"/>
          </w:tcPr>
          <w:p>
            <w:r>
              <w:rPr>
                <w:b/>
                <w:color w:val="FFFFFF"/>
                <w:sz w:val="16"/>
              </w:rPr>
              <w:t>Alternative</w:t>
            </w:r>
          </w:p>
        </w:tc>
        <w:tc>
          <w:tcPr>
            <w:tcW w:type="dxa" w:w="1502"/>
            <w:shd w:fill="1F4E78"/>
            <w:vAlign w:val="center"/>
          </w:tcPr>
          <w:p>
            <w:r>
              <w:rPr>
                <w:b/>
                <w:color w:val="FFFFFF"/>
                <w:sz w:val="16"/>
              </w:rPr>
              <w:t>Courtesy labor</w:t>
            </w:r>
          </w:p>
        </w:tc>
        <w:tc>
          <w:tcPr>
            <w:tcW w:type="dxa" w:w="1502"/>
            <w:shd w:fill="1F4E78"/>
            <w:vAlign w:val="center"/>
          </w:tcPr>
          <w:p>
            <w:r>
              <w:rPr>
                <w:b/>
                <w:color w:val="FFFFFF"/>
                <w:sz w:val="16"/>
              </w:rPr>
              <w:t>Demand labor</w:t>
            </w:r>
          </w:p>
        </w:tc>
        <w:tc>
          <w:tcPr>
            <w:tcW w:type="dxa" w:w="1502"/>
            <w:shd w:fill="1F4E78"/>
            <w:vAlign w:val="center"/>
          </w:tcPr>
          <w:p>
            <w:r>
              <w:rPr>
                <w:b/>
                <w:color w:val="FFFFFF"/>
                <w:sz w:val="16"/>
              </w:rPr>
              <w:t>Counsel prep labor</w:t>
            </w:r>
          </w:p>
        </w:tc>
        <w:tc>
          <w:tcPr>
            <w:tcW w:type="dxa" w:w="1502"/>
            <w:shd w:fill="1F4E78"/>
            <w:vAlign w:val="center"/>
          </w:tcPr>
          <w:p>
            <w:r>
              <w:rPr>
                <w:b/>
                <w:color w:val="FFFFFF"/>
                <w:sz w:val="16"/>
              </w:rPr>
              <w:t>Outside counsel</w:t>
            </w:r>
          </w:p>
        </w:tc>
        <w:tc>
          <w:tcPr>
            <w:tcW w:type="dxa" w:w="1502"/>
            <w:shd w:fill="1F4E78"/>
            <w:vAlign w:val="center"/>
          </w:tcPr>
          <w:p>
            <w:r>
              <w:rPr>
                <w:b/>
                <w:color w:val="FFFFFF"/>
                <w:sz w:val="16"/>
              </w:rPr>
              <w:t>Portfolio total</w:t>
            </w:r>
          </w:p>
        </w:tc>
        <w:tc>
          <w:tcPr>
            <w:tcW w:type="dxa" w:w="1502"/>
            <w:shd w:fill="1F4E78"/>
            <w:vAlign w:val="center"/>
          </w:tcPr>
          <w:p>
            <w:r>
              <w:rPr>
                <w:b/>
                <w:color w:val="FFFFFF"/>
                <w:sz w:val="16"/>
              </w:rPr>
              <w:t>Capacity conversion</w:t>
            </w:r>
          </w:p>
        </w:tc>
      </w:tr>
      <w:tr>
        <w:tc>
          <w:tcPr>
            <w:tcW w:type="dxa" w:w="1502"/>
            <w:vAlign w:val="center"/>
          </w:tcPr>
          <w:p>
            <w:r>
              <w:rPr>
                <w:sz w:val="16"/>
              </w:rPr>
              <w:t>A - early</w:t>
            </w:r>
          </w:p>
        </w:tc>
        <w:tc>
          <w:tcPr>
            <w:tcW w:type="dxa" w:w="1502"/>
            <w:vAlign w:val="center"/>
          </w:tcPr>
          <w:p>
            <w:r>
              <w:rPr>
                <w:sz w:val="16"/>
              </w:rPr>
              <w:t>0.2 h / $7</w:t>
            </w:r>
          </w:p>
        </w:tc>
        <w:tc>
          <w:tcPr>
            <w:tcW w:type="dxa" w:w="1502"/>
            <w:vAlign w:val="center"/>
          </w:tcPr>
          <w:p>
            <w:r>
              <w:rPr>
                <w:sz w:val="16"/>
              </w:rPr>
              <w:t>3.2 h / $110</w:t>
            </w:r>
          </w:p>
        </w:tc>
        <w:tc>
          <w:tcPr>
            <w:tcW w:type="dxa" w:w="1502"/>
            <w:vAlign w:val="center"/>
          </w:tcPr>
          <w:p>
            <w:r>
              <w:rPr>
                <w:sz w:val="16"/>
              </w:rPr>
              <w:t>1.5 h / $52</w:t>
            </w:r>
          </w:p>
        </w:tc>
        <w:tc>
          <w:tcPr>
            <w:tcW w:type="dxa" w:w="1502"/>
            <w:vAlign w:val="center"/>
          </w:tcPr>
          <w:p>
            <w:r>
              <w:rPr>
                <w:sz w:val="16"/>
              </w:rPr>
              <w:t>$425</w:t>
            </w:r>
          </w:p>
        </w:tc>
        <w:tc>
          <w:tcPr>
            <w:tcW w:type="dxa" w:w="1502"/>
            <w:vAlign w:val="center"/>
          </w:tcPr>
          <w:p>
            <w:r>
              <w:rPr>
                <w:sz w:val="16"/>
              </w:rPr>
              <w:t>$594</w:t>
            </w:r>
          </w:p>
        </w:tc>
        <w:tc>
          <w:tcPr>
            <w:tcW w:type="dxa" w:w="1502"/>
            <w:vAlign w:val="center"/>
          </w:tcPr>
          <w:p>
            <w:r>
              <w:rPr>
                <w:sz w:val="16"/>
              </w:rPr>
              <w:t>4.9 h (0.65 shifts)</w:t>
            </w:r>
          </w:p>
        </w:tc>
      </w:tr>
      <w:tr>
        <w:tc>
          <w:tcPr>
            <w:tcW w:type="dxa" w:w="1502"/>
            <w:vAlign w:val="center"/>
          </w:tcPr>
          <w:p>
            <w:r>
              <w:rPr>
                <w:sz w:val="16"/>
              </w:rPr>
              <w:t>B - guarded</w:t>
            </w:r>
          </w:p>
        </w:tc>
        <w:tc>
          <w:tcPr>
            <w:tcW w:type="dxa" w:w="1502"/>
            <w:vAlign w:val="center"/>
          </w:tcPr>
          <w:p>
            <w:r>
              <w:rPr>
                <w:sz w:val="16"/>
              </w:rPr>
              <w:t>1.6 h / $55</w:t>
            </w:r>
          </w:p>
        </w:tc>
        <w:tc>
          <w:tcPr>
            <w:tcW w:type="dxa" w:w="1502"/>
            <w:vAlign w:val="center"/>
          </w:tcPr>
          <w:p>
            <w:r>
              <w:rPr>
                <w:sz w:val="16"/>
              </w:rPr>
              <w:t>0.4 h / $14</w:t>
            </w:r>
          </w:p>
        </w:tc>
        <w:tc>
          <w:tcPr>
            <w:tcW w:type="dxa" w:w="1502"/>
            <w:vAlign w:val="center"/>
          </w:tcPr>
          <w:p>
            <w:r>
              <w:rPr>
                <w:sz w:val="16"/>
              </w:rPr>
              <w:t>1.5 h / $52</w:t>
            </w:r>
          </w:p>
        </w:tc>
        <w:tc>
          <w:tcPr>
            <w:tcW w:type="dxa" w:w="1502"/>
            <w:vAlign w:val="center"/>
          </w:tcPr>
          <w:p>
            <w:r>
              <w:rPr>
                <w:sz w:val="16"/>
              </w:rPr>
              <w:t>$425</w:t>
            </w:r>
          </w:p>
        </w:tc>
        <w:tc>
          <w:tcPr>
            <w:tcW w:type="dxa" w:w="1502"/>
            <w:vAlign w:val="center"/>
          </w:tcPr>
          <w:p>
            <w:r>
              <w:rPr>
                <w:sz w:val="16"/>
              </w:rPr>
              <w:t>$546</w:t>
            </w:r>
          </w:p>
        </w:tc>
        <w:tc>
          <w:tcPr>
            <w:tcW w:type="dxa" w:w="1502"/>
            <w:vAlign w:val="center"/>
          </w:tcPr>
          <w:p>
            <w:r>
              <w:rPr>
                <w:sz w:val="16"/>
              </w:rPr>
              <w:t>3.5 h (0.47 shifts)</w:t>
            </w:r>
          </w:p>
        </w:tc>
      </w:tr>
    </w:tbl>
    <w:p>
      <w:r>
        <w:rPr>
          <w:b w:val="0"/>
        </w:rPr>
        <w:t>Current loaded labor rate is $34.50/hour (the prior draft used $31.00). Courtesy, demand, and counsel-preparation hours use 12, 24, and 45 minutes per case, respectively. Outside counsel is billed at $425 per lot of up to 5 referrals; a partial lot is charged as a full lot. Internal labor and outside legal cost are separate components. Available capacity is 4 shifts x 7.5 hours = 30.0 hours.</w:t>
      </w:r>
    </w:p>
    <w:p>
      <w:pPr>
        <w:pStyle w:val="Heading1"/>
      </w:pPr>
      <w:r>
        <w:t>5. Later-cycle payment exposure</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shd w:fill="1F4E78"/>
            <w:vAlign w:val="center"/>
          </w:tcPr>
          <w:p>
            <w:r>
              <w:rPr>
                <w:b/>
                <w:color w:val="FFFFFF"/>
                <w:sz w:val="16"/>
              </w:rPr>
              <w:t>Alternative</w:t>
            </w:r>
          </w:p>
        </w:tc>
        <w:tc>
          <w:tcPr>
            <w:tcW w:type="dxa" w:w="2102"/>
            <w:shd w:fill="1F4E78"/>
            <w:vAlign w:val="center"/>
          </w:tcPr>
          <w:p>
            <w:r>
              <w:rPr>
                <w:b/>
                <w:color w:val="FFFFFF"/>
                <w:sz w:val="16"/>
              </w:rPr>
              <w:t>Recurring week-three cohort</w:t>
            </w:r>
          </w:p>
        </w:tc>
        <w:tc>
          <w:tcPr>
            <w:tcW w:type="dxa" w:w="2102"/>
            <w:shd w:fill="1F4E78"/>
            <w:vAlign w:val="center"/>
          </w:tcPr>
          <w:p>
            <w:r>
              <w:rPr>
                <w:b/>
                <w:color w:val="FFFFFF"/>
                <w:sz w:val="16"/>
              </w:rPr>
              <w:t>Cohort in January tiers</w:t>
            </w:r>
          </w:p>
        </w:tc>
        <w:tc>
          <w:tcPr>
            <w:tcW w:type="dxa" w:w="2102"/>
            <w:shd w:fill="1F4E78"/>
            <w:vAlign w:val="center"/>
          </w:tcPr>
          <w:p>
            <w:r>
              <w:rPr>
                <w:b/>
                <w:color w:val="FFFFFF"/>
                <w:sz w:val="16"/>
              </w:rPr>
              <w:t>Share of escalated</w:t>
            </w:r>
          </w:p>
        </w:tc>
        <w:tc>
          <w:tcPr>
            <w:tcW w:type="dxa" w:w="2102"/>
            <w:shd w:fill="1F4E78"/>
            <w:vAlign w:val="center"/>
          </w:tcPr>
          <w:p>
            <w:r>
              <w:rPr>
                <w:b/>
                <w:color w:val="FFFFFF"/>
                <w:sz w:val="16"/>
              </w:rPr>
              <w:t>Interpretation</w:t>
            </w:r>
          </w:p>
        </w:tc>
      </w:tr>
      <w:tr>
        <w:tc>
          <w:tcPr>
            <w:tcW w:type="dxa" w:w="2102"/>
            <w:vAlign w:val="center"/>
          </w:tcPr>
          <w:p>
            <w:r>
              <w:rPr>
                <w:sz w:val="16"/>
              </w:rPr>
              <w:t>A - early</w:t>
            </w:r>
          </w:p>
        </w:tc>
        <w:tc>
          <w:tcPr>
            <w:tcW w:type="dxa" w:w="2102"/>
            <w:vAlign w:val="center"/>
          </w:tcPr>
          <w:p>
            <w:r>
              <w:rPr>
                <w:sz w:val="16"/>
              </w:rPr>
              <w:t>8</w:t>
            </w:r>
          </w:p>
        </w:tc>
        <w:tc>
          <w:tcPr>
            <w:tcW w:type="dxa" w:w="2102"/>
            <w:vAlign w:val="center"/>
          </w:tcPr>
          <w:p>
            <w:r>
              <w:rPr>
                <w:sz w:val="16"/>
              </w:rPr>
              <w:t>8</w:t>
            </w:r>
          </w:p>
        </w:tc>
        <w:tc>
          <w:tcPr>
            <w:tcW w:type="dxa" w:w="2102"/>
            <w:vAlign w:val="center"/>
          </w:tcPr>
          <w:p>
            <w:r>
              <w:rPr>
                <w:sz w:val="16"/>
              </w:rPr>
              <w:t>72.7%</w:t>
            </w:r>
          </w:p>
        </w:tc>
        <w:tc>
          <w:tcPr>
            <w:tcW w:type="dxa" w:w="2102"/>
            <w:vAlign w:val="center"/>
          </w:tcPr>
          <w:p>
            <w:r>
              <w:rPr>
                <w:sz w:val="16"/>
              </w:rPr>
              <w:t>Historical timing exposure, not a finding of improper contact</w:t>
            </w:r>
          </w:p>
        </w:tc>
      </w:tr>
      <w:tr>
        <w:tc>
          <w:tcPr>
            <w:tcW w:type="dxa" w:w="2102"/>
            <w:vAlign w:val="center"/>
          </w:tcPr>
          <w:p>
            <w:r>
              <w:rPr>
                <w:sz w:val="16"/>
              </w:rPr>
              <w:t>B - guarded</w:t>
            </w:r>
          </w:p>
        </w:tc>
        <w:tc>
          <w:tcPr>
            <w:tcW w:type="dxa" w:w="2102"/>
            <w:vAlign w:val="center"/>
          </w:tcPr>
          <w:p>
            <w:r>
              <w:rPr>
                <w:sz w:val="16"/>
              </w:rPr>
              <w:t>8</w:t>
            </w:r>
          </w:p>
        </w:tc>
        <w:tc>
          <w:tcPr>
            <w:tcW w:type="dxa" w:w="2102"/>
            <w:vAlign w:val="center"/>
          </w:tcPr>
          <w:p>
            <w:r>
              <w:rPr>
                <w:sz w:val="16"/>
              </w:rPr>
              <w:t>8</w:t>
            </w:r>
          </w:p>
        </w:tc>
        <w:tc>
          <w:tcPr>
            <w:tcW w:type="dxa" w:w="2102"/>
            <w:vAlign w:val="center"/>
          </w:tcPr>
          <w:p>
            <w:r>
              <w:rPr>
                <w:sz w:val="16"/>
              </w:rPr>
              <w:t>72.7%</w:t>
            </w:r>
          </w:p>
        </w:tc>
        <w:tc>
          <w:tcPr>
            <w:tcW w:type="dxa" w:w="2102"/>
            <w:vAlign w:val="center"/>
          </w:tcPr>
          <w:p>
            <w:r>
              <w:rPr>
                <w:sz w:val="16"/>
              </w:rPr>
              <w:t>Historical timing exposure, not a finding of improper contact</w:t>
            </w:r>
          </w:p>
        </w:tc>
      </w:tr>
    </w:tbl>
    <w:p>
      <w:r>
        <w:rPr>
          <w:b w:val="0"/>
        </w:rPr>
        <w:t>The recurring week-three cohort is defined reproducibly as accounts with payments dated on calendar days 15-24 in at least four of the seven June-December ledger months. This observed pattern quantifies exposure to earlier triggers; it does not establish that every such account would be contacted in error or that any communication would violate a particular law.</w:t>
      </w:r>
    </w:p>
    <w:p>
      <w:pPr>
        <w:pStyle w:val="Heading1"/>
      </w:pPr>
      <w:r>
        <w:t>6. Method and limitations</w:t>
      </w:r>
    </w:p>
    <w:p>
      <w:r>
        <w:rPr>
          <w:b w:val="0"/>
        </w:rPr>
        <w:t>The figures were independently recomputed from Fallowbrook_delinquency_evidence.xlsx rather than from the prior draft summary. For each account and observation date, due and unpaid balance equals assessments and adjustments due by that date less posted payments and credits. Periods are Jun-Aug migration (31 Aug endpoint), Sep-Nov steady state (30 Nov endpoint), Dec close (31 Dec endpoint), and January (10 Jan projection). Free-text account exceptions override otherwise eligible main-column values in this order: installment deferral changes due date; current payment-plan hold suppresses all escalation; call-only restriction suppresses demand and counsel. Tier precedence is counsel &gt; demand &gt; courtesy. January special-assessment impact is the with-installment result minus an otherwise identical ordinary-dues-only run. Labor hours are case count x minutes/60; counsel cost is ceiling(referrals/lot capacity) x charge per lot. Capacity is converted using supplied hours per shift. The workbook cannot establish legal compliance or intent behind payment timing, and actual operations may depend on facts outside this snapshot.</w:t>
      </w:r>
    </w:p>
    <w:p>
      <w:r>
        <w:rPr>
          <w:b w:val="0"/>
        </w:rPr>
        <w:t>Handoff: Esperanza Duarte can compare the two alternatives, their account populations, resident-impact exposure, workload, and costs against January operating context. No threshold selection or contact instruction is made here.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