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Ninebark Port Authority — Green-Lane Governing Policy</w:t>
      </w:r>
    </w:p>
    <w:p>
      <w:r>
        <w:rPr>
          <w:sz w:val="20"/>
        </w:rPr>
        <w:t>Effective for the voluntary tenant green-lane program and the September panel decision before the next tariff year.</w:t>
      </w:r>
    </w:p>
    <w:p>
      <w:r>
        <w:rPr>
          <w:b/>
          <w:sz w:val="22"/>
        </w:rPr>
        <w:t>1. Status replay and event control</w:t>
      </w:r>
    </w:p>
    <w:p>
      <w:pPr>
        <w:pStyle w:val="ListBullet"/>
        <w:spacing w:after="40"/>
      </w:pPr>
      <w:r>
        <w:rPr>
          <w:sz w:val="18"/>
        </w:rPr>
        <w:t>Begin with the supplied opening-state records. Do not infer an opening state from the first dated event.</w:t>
      </w:r>
    </w:p>
    <w:p>
      <w:pPr>
        <w:pStyle w:val="ListBullet"/>
        <w:spacing w:after="40"/>
      </w:pPr>
      <w:r>
        <w:rPr>
          <w:sz w:val="18"/>
        </w:rPr>
        <w:t>De-duplicate event rows on the key Tenant ID + Event Type + Effective Date + Reference ID. One key is one event.</w:t>
      </w:r>
    </w:p>
    <w:p>
      <w:pPr>
        <w:pStyle w:val="ListBullet"/>
        <w:spacing w:after="40"/>
      </w:pPr>
      <w:r>
        <w:rPr>
          <w:sz w:val="18"/>
        </w:rPr>
        <w:t>Replay events in Effective Date order; on the same date, apply Application, Pre-clearance, Audit, Finding, Remediation, then Status Change.</w:t>
      </w:r>
    </w:p>
    <w:p>
      <w:pPr>
        <w:pStyle w:val="ListBullet"/>
        <w:spacing w:after="40"/>
      </w:pPr>
      <w:r>
        <w:rPr>
          <w:sz w:val="18"/>
        </w:rPr>
        <w:t>Approved tenant statuses are Pending, Active, Suspended, and Closed. A qualifying application approval moves Pending to Active. An Adverse audit finding moves Active to Suspended. A completed corrective-action follow-up with a Clear or Conditional outcome may move Suspended to Active.</w:t>
      </w:r>
    </w:p>
    <w:p>
      <w:pPr>
        <w:pStyle w:val="ListBullet"/>
        <w:spacing w:after="40"/>
      </w:pPr>
      <w:r>
        <w:rPr>
          <w:sz w:val="18"/>
        </w:rPr>
        <w:t>The retired field Status Helper is non-authoritative. The opening state plus cleaned event replay controls final status and outcome.</w:t>
      </w:r>
    </w:p>
    <w:p>
      <w:r>
        <w:rPr>
          <w:b/>
          <w:sz w:val="22"/>
        </w:rPr>
        <w:t>2. Scope, periods, eligibility, and materiality</w:t>
      </w:r>
    </w:p>
    <w:p>
      <w:pPr>
        <w:pStyle w:val="ListBullet"/>
        <w:spacing w:after="40"/>
      </w:pPr>
      <w:r>
        <w:rPr>
          <w:sz w:val="18"/>
        </w:rPr>
        <w:t>The four largest tenants are the four highest 2024 cargo-volume records in the opening state: Marrowbone Terminals, Gildenhall Logistics, Overbrook Energy, and Pellinore Foods.</w:t>
      </w:r>
    </w:p>
    <w:p>
      <w:pPr>
        <w:pStyle w:val="ListBullet"/>
        <w:spacing w:after="40"/>
      </w:pPr>
      <w:r>
        <w:rPr>
          <w:sz w:val="18"/>
        </w:rPr>
        <w:t>Earlier reporting period: 2024-01-01 through 2024-06-30. Later reporting period: 2025-01-01 through 2025-06-30. A qualifying tenant is counted once per period using Tenant ID + Period.</w:t>
      </w:r>
    </w:p>
    <w:p>
      <w:pPr>
        <w:pStyle w:val="ListBullet"/>
        <w:spacing w:after="40"/>
      </w:pPr>
      <w:r>
        <w:rPr>
          <w:sz w:val="18"/>
        </w:rPr>
        <w:t>Principal performance metric is average dwell time in hours for Ninebark observations, using the cleaned observation rows. A change of at least 1.0 hour in absolute value is material.</w:t>
      </w:r>
    </w:p>
    <w:p>
      <w:pPr>
        <w:pStyle w:val="ListBullet"/>
        <w:spacing w:after="40"/>
      </w:pPr>
      <w:r>
        <w:rPr>
          <w:sz w:val="18"/>
        </w:rPr>
        <w:t>Ninebark observations are measured results. Other-port observations may be shown only as external observations or projections and are not Ninebark results.</w:t>
      </w:r>
    </w:p>
    <w:p>
      <w:r>
        <w:rPr>
          <w:b/>
          <w:sz w:val="22"/>
        </w:rPr>
        <w:t>3. Audit access terms</w:t>
      </w:r>
    </w:p>
    <w:p>
      <w:pPr>
        <w:pStyle w:val="ListBullet"/>
        <w:spacing w:after="40"/>
      </w:pPr>
      <w:r>
        <w:rPr>
          <w:sz w:val="18"/>
        </w:rPr>
        <w:t>Record scope: participating-tenant green-lane cargo documentation, pre-clearance decisions, shipment-level exception logs, and remediation evidence for the audited period.</w:t>
      </w:r>
    </w:p>
    <w:p>
      <w:pPr>
        <w:pStyle w:val="ListBullet"/>
        <w:spacing w:after="40"/>
      </w:pPr>
      <w:r>
        <w:rPr>
          <w:sz w:val="18"/>
        </w:rPr>
        <w:t>Retention: seven years from the relevant shipment or decision date.</w:t>
      </w:r>
    </w:p>
    <w:p>
      <w:pPr>
        <w:pStyle w:val="ListBullet"/>
        <w:spacing w:after="40"/>
      </w:pPr>
      <w:r>
        <w:rPr>
          <w:sz w:val="18"/>
        </w:rPr>
        <w:t>Access boundary: Ninebark Port Authority compliance officers and the tenant's designated audit liaison may use a secure read-only export or supervised on-site review; no unrestricted production-system access.</w:t>
      </w:r>
    </w:p>
    <w:p>
      <w:pPr>
        <w:pStyle w:val="ListBullet"/>
        <w:spacing w:after="40"/>
      </w:pPr>
      <w:r>
        <w:rPr>
          <w:sz w:val="18"/>
        </w:rPr>
        <w:t>Commercially sensitive material is segregated or redacted where it is not needed for the compliance determination, shared under confidentiality obligations, and used only for program oversight.</w:t>
      </w:r>
    </w:p>
    <w:p>
      <w:pPr>
        <w:pStyle w:val="ListBullet"/>
        <w:spacing w:after="40"/>
      </w:pPr>
      <w:r>
        <w:rPr>
          <w:sz w:val="18"/>
        </w:rPr>
        <w:t>Approved audit outcomes are Clear, Conditional, and Adverse. After an Adverse finding: issue written notice, suspend pre-clearance, require a corrective-action plan within 30 calendar days, and conduct a follow-up review. Reinstatement requires a subsequent Clear or Conditional outcome.</w:t>
      </w:r>
    </w:p>
    <w:p>
      <w:r>
        <w:rPr>
          <w:b/>
          <w:sz w:val="22"/>
        </w:rPr>
        <w:t>4. Jurisdiction comparison</w:t>
      </w:r>
    </w:p>
    <w:p>
      <w:pPr>
        <w:pStyle w:val="ListBullet"/>
        <w:spacing w:after="40"/>
      </w:pPr>
      <w:r>
        <w:rPr>
          <w:sz w:val="18"/>
        </w:rPr>
        <w:t>Northbank: seven-year record retention, secure audit access to the defined green-lane record scope, and confidentiality controls. These requirements apply to the voluntary Ninebark program.</w:t>
      </w:r>
    </w:p>
    <w:p>
      <w:pPr>
        <w:pStyle w:val="ListBullet"/>
        <w:spacing w:after="40"/>
      </w:pPr>
      <w:r>
        <w:rPr>
          <w:sz w:val="18"/>
        </w:rPr>
        <w:t>Eastmere: five-year retention and regulator notice within 10 business days for reportable incidents. Eastmere requirements are contextual and do not apply to this voluntary program unless a shipment is subject to Eastmere oversight.</w:t>
      </w:r>
    </w:p>
    <w:p>
      <w:r>
        <w:rPr>
          <w:b/>
          <w:sz w:val="22"/>
        </w:rPr>
        <w:t>5. Approved panel language</w:t>
      </w:r>
    </w:p>
    <w:p>
      <w:pPr>
        <w:pStyle w:val="ListBullet"/>
        <w:spacing w:after="40"/>
      </w:pPr>
      <w:r>
        <w:rPr>
          <w:sz w:val="18"/>
        </w:rPr>
        <w:t>Use “voluntary pilot,” “pre-clearance,” “audit access,” and the status/outcome vocabulary above. The panel decision is “Approve,” “Approve with conditions,” or “Do not approve.”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