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Control notes and supplied policy</w:t>
      </w:r>
    </w:p>
    <w:p>
      <w:r>
        <w:t>Gildenhall Freight — Vellumstone Laboratories binding-authority book</w:t>
      </w:r>
    </w:p>
    <w:p>
      <w:r>
        <w:t>Supplied policy excerpt (internal fiduciary control): The trust position is reviewed each business day. A confirmed, irrevocable carrier payment may be considered together with the corresponding liability release when assessing whether the position is supported. Apparent deficits caused by bank posting and later liability release should be investigated, not ignored; unresolved or excess deficits are escalated.</w:t>
      </w:r>
    </w:p>
    <w:p>
      <w:r>
        <w:rPr>
          <w:b/>
        </w:rPr>
        <w:t>12 May 2025 — Petra Alcantara, Finance Manager</w:t>
      </w:r>
    </w:p>
    <w:p>
      <w:r>
        <w:t>The bank debit can post before the liability release appears in the ledger. Ordinary scheduled remittances normally cure on the next supplied business day. I need a daily exception view that separates those timing dips from a true shortage.</w:t>
      </w:r>
    </w:p>
    <w:p>
      <w:r>
        <w:rPr>
          <w:b/>
        </w:rPr>
        <w:t>28 May 2025 — Ruben Vanterpool, Treasury Operations</w:t>
      </w:r>
    </w:p>
    <w:p>
      <w:r>
        <w:t>For the ramp, two underlying risks are packed into each authority-intake pack. Please convert packs to risks before applying the average trust premium. Expected-clear / settlement dates were not recorded for a small early subset; use one consistent observed lag if you choose to impute, or exclude those records from calibration.</w:t>
      </w:r>
    </w:p>
    <w:p>
      <w:r>
        <w:rPr>
          <w:b/>
        </w:rPr>
        <w:t>06 June 2025 — Jarek Thackeray, Binding Authority Lead</w:t>
      </w:r>
    </w:p>
    <w:p>
      <w:r>
        <w:t>The external partner will want a clear owner. Petra should review the daily control; Treasury Operations investigates bank posting and remittance evidence. Genuine alerts go to me and Ruben for same-day triage and, if unresolved, examination reporting.</w:t>
      </w:r>
    </w:p>
    <w:p>
      <w:r>
        <w:rPr>
          <w:b/>
        </w:rPr>
        <w:t>18 July 2025 — Petra Alcantara</w:t>
      </w:r>
    </w:p>
    <w:p>
      <w:r>
        <w:t>A posted-position reading can retain the posted liability, show a timing allowance only for confirmed irrevocable remittances, and test cure on the next supplied business day. An effective-position reading can reduce liability on the effective remittance date. Either is workable if documented and applied consistently.</w:t>
      </w:r>
    </w:p>
    <w:p>
      <w:r>
        <w:rPr>
          <w:b/>
        </w:rPr>
        <w:t>Examination milestone</w:t>
      </w:r>
    </w:p>
    <w:p>
      <w:r>
        <w:t>The state insurance department examination is expected on 31 March 2026. Reporting audience: Jarek Thackeray and Ruben Vanterpool, with Vellumstone Laboratories as the external binding-authority partner.</w:t>
      </w:r>
    </w:p>
    <w:sectPr w:rsidR="00FC693F" w:rsidRPr="0006063C" w:rsidSect="00034616">
      <w:pgSz w:w="12240" w:h="15840"/>
      <w:pgMar w:top="864" w:right="1800" w:bottom="86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