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Wexmoor / Foxglove implementation plan review record</w:t>
      </w:r>
    </w:p>
    <w:p>
      <w:pPr>
        <w:jc w:val="center"/>
      </w:pPr>
      <w:r>
        <w:t>Client implementation-planning engagement | outpatient booking implementation</w:t>
      </w:r>
    </w:p>
    <w:p>
      <w:r>
        <w:t>Scope and launch. The plan covers the Wexmoor Regional Office implementation for Foxglove Services. The committed launch date is 14 October 2025; the permitted pre-launch working window is 2 September–10 October 2025.</w:t>
      </w:r>
    </w:p>
    <w:p>
      <w:pPr>
        <w:pStyle w:val="Heading1"/>
      </w:pPr>
      <w:r>
        <w:t>Schedule and readiness chain</w:t>
      </w:r>
    </w:p>
    <w:p>
      <w:r>
        <w:t>The workbook schedules all register activities A01–A16 once, with daily allocations, owners, effort, predecessors and time slots. The technical chain is A01 → A03 → A04 → A06 → A07 → A08 → A09 → A10 → A15; readiness review A16 follows A14 and A15. A16 is scheduled for 03 October 2025, so planned work finishes within the 10 October deadline. Integration test round 1 is 18–19 September and round 2 is 25–26 September, respecting the 23–24 September blackout and leaving a clear working day. Training sessions A13 and A14 are on 11 and 12 September.</w:t>
      </w:r>
    </w:p>
    <w:p>
      <w:pPr>
        <w:pStyle w:val="Heading1"/>
      </w:pPr>
      <w:r>
        <w:t>Budget and capacity</w:t>
      </w:r>
    </w:p>
    <w:p>
      <w:r>
        <w:t>The workbook budget is calculated from each daily allocation multiplied by the frozen resource rate. The reconciled total is £30,615.00. Scheduled hours total 231 staff-hours. Person-level totals are Efua Seaborne 16h; Kenji Petrosyan 128h; Hilde Maldonado 24h; Olamide Elbaz 33h; Meera Calloway 30h. Daily capacity detail shows no over-capacity allocation; unavailable dates have zero available hours. BPV-required work is assigned to Kenji Petrosyan, the named Booking Platform Validation holder.</w:t>
      </w:r>
    </w:p>
    <w:p>
      <w:pPr>
        <w:pStyle w:val="Heading1"/>
      </w:pPr>
      <w:r>
        <w:t>Evidence and unresolved factual exceptions</w:t>
      </w:r>
    </w:p>
    <w:p>
      <w:r>
        <w:t>Testing effort: EV-TEST-WEX-2025-08-18 records 24 staff-hours (12 per round); EV-TEST-FOX-2025-08-20 records 32 staff-hours (16 per round). Governance gives precedence to the Wexmoor acceptance log, so 24 staff-hours is scheduled. The 8 staff-hour variance remains unresolved; priced at Kenji’s rate it represents £1,240 of alternate effort.</w:t>
      </w:r>
    </w:p>
    <w:p>
      <w:r>
        <w:t>Training staffing: EV-TRAIN-WEX-2025-08-19 confirms Olamide Elbaz and Hilde Maldonado as the two named training staff. EV-TRAIN-FOX-2025-08-21 requests three trainers per hands-on session but supplies no third confirmed named resource. The schedule uses only the two confirmed trainers (6 hours each in A13 and A14); the additional request and its capacity implication remain unresolved.</w:t>
      </w:r>
    </w:p>
    <w:p>
      <w:r>
        <w:t>Source traceability: implementation_register.xlsx; resource_capacity_and_rates.xlsx; frozen_evidence_log.docx; governance_and_calendar.pdf. This record states frozen facts, settled planning conventions and unresolved exceptions without recommending a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