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left"/>
      </w:pPr>
      <w:r>
        <w:rPr>
          <w:rFonts w:ascii="Aptos Display" w:hAnsi="Aptos Display"/>
          <w:b/>
          <w:color w:val="1F4E78"/>
          <w:sz w:val="36"/>
        </w:rPr>
        <w:t>Friday Coupling Assumptions</w:t>
      </w:r>
    </w:p>
    <w:p>
      <w:pPr>
        <w:spacing w:after="120"/>
      </w:pPr>
      <w:r>
        <w:rPr>
          <w:rFonts w:ascii="Aptos" w:hAnsi="Aptos"/>
          <w:i/>
          <w:color w:val="5B6570"/>
          <w:sz w:val="19"/>
        </w:rPr>
        <w:t>Issued for the Ontario and Michigan production review</w:t>
      </w:r>
    </w:p>
    <w:p>
      <w:pPr>
        <w:spacing w:after="100"/>
      </w:pPr>
      <w:r>
        <w:rPr>
          <w:b/>
        </w:rPr>
        <w:t xml:space="preserve">To: </w:t>
      </w:r>
      <w:r>
        <w:t>Hilde Ekstrom; Lars Toledano</w:t>
      </w:r>
      <w:r>
        <w:rPr>
          <w:b/>
        </w:rPr>
        <w:t xml:space="preserve">    From: </w:t>
      </w:r>
      <w:r>
        <w:t>K. Henson, Process Planning</w:t>
      </w:r>
      <w:r>
        <w:rPr>
          <w:b/>
        </w:rPr>
        <w:t xml:space="preserve">    Date: </w:t>
      </w:r>
      <w:r>
        <w:t>16 August 2026</w:t>
      </w:r>
    </w:p>
    <w:p>
      <w:pPr>
        <w:pStyle w:val="Heading1"/>
      </w:pPr>
      <w:r>
        <w:t>Run and reporting basis</w:t>
      </w:r>
    </w:p>
    <w:p>
      <w:r>
        <w:rPr>
          <w:b/>
        </w:rPr>
        <w:t xml:space="preserve">Friday run: </w:t>
      </w:r>
      <w:r>
        <w:t xml:space="preserve">FRI-ONT-MI-2026-08-21, Friday 21 August 2026. </w:t>
      </w:r>
      <w:r>
        <w:rPr>
          <w:b/>
        </w:rPr>
        <w:t xml:space="preserve">Review scope: </w:t>
      </w:r>
      <w:r>
        <w:t>Ontario and Michigan only. The packaging specification is 43 coupling pieces per carton; convert every carton quantity using cartons x 43.</w:t>
      </w:r>
    </w:p>
    <w:p>
      <w:r>
        <w:rPr>
          <w:b/>
        </w:rPr>
        <w:t xml:space="preserve">Rate unit and comparison: </w:t>
      </w:r>
      <w:r>
        <w:t>Observed and scenario defect rates are percent values, not proportions. Retain the recorded source rate. For comparison, round the percent value to 2 decimal percentage points before applying the 20.00% review threshold. Label a rate Above threshold only when the rounded rate is greater than 20.00%; label it At threshold when equal, otherwise Below threshold.</w:t>
      </w:r>
    </w:p>
    <w:p>
      <w:pPr>
        <w:pStyle w:val="Heading1"/>
      </w:pPr>
      <w:r>
        <w:t>Friday scenario inputs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cantSplit/>
        </w:trPr>
        <w:tc>
          <w:tcPr>
            <w:tcW w:type="dxa" w:w="252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1656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Jurisdiction</w:t>
            </w:r>
          </w:p>
        </w:tc>
        <w:tc>
          <w:tcPr>
            <w:tcW w:type="dxa" w:w="108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Cartons</w:t>
            </w:r>
          </w:p>
        </w:tc>
        <w:tc>
          <w:tcPr>
            <w:tcW w:type="dxa" w:w="2592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Applicable rate (%) raw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Steady release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Ontario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40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21.2500000002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Steady release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Michigan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36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17.9000000001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Expedited replenishment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Ontario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52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24.1000000003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Expedited replenishment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Michigan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48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19.2000000002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Contained rework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Ontario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28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16.7500000001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Contained rework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Michigan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24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14.4000000002</w:t>
            </w:r>
          </w:p>
        </w:tc>
      </w:tr>
    </w:tbl>
    <w:p>
      <w:pPr>
        <w:spacing w:after="0"/>
      </w:pPr>
    </w:p>
    <w:p>
      <w:pPr>
        <w:spacing w:after="0"/>
      </w:pPr>
      <w:r>
        <w:rPr>
          <w:b/>
        </w:rPr>
        <w:t xml:space="preserve">Use each scenario's jurisdiction-level cartons and applicable rate as supplied above. </w:t>
      </w:r>
      <w:r>
        <w:t>No volume, rate, jurisdiction, or disposition assumption is supplied beyond this table and the stated Friday run scope.</w:t>
      </w:r>
    </w:p>
    <w:sectPr w:rsidR="00FC693F" w:rsidRPr="0006063C" w:rsidSect="00034616">
      <w:footerReference w:type="default" r:id="rId9"/>
      <w:pgSz w:w="12240" w:h="15840"/>
      <w:pgMar w:top="720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color w:val="6B7280"/>
        <w:sz w:val="16"/>
      </w:rPr>
      <w:t>Hawthorne Associates | Friday coupling review assumptions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43447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120"/>
      <w:contextualSpacing/>
    </w:pPr>
    <w:rPr>
      <w:rFonts w:asciiTheme="majorHAnsi" w:eastAsiaTheme="majorEastAsia" w:hAnsiTheme="majorHAnsi" w:cstheme="majorBidi" w:ascii="Aptos Display" w:hAnsi="Aptos Display"/>
      <w:color w:val="1F4E78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