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Western branch consolidation</w:t>
      </w:r>
    </w:p>
    <w:p>
      <w:r>
        <w:rPr>
          <w:color w:val="62728A"/>
          <w:sz w:val="18"/>
        </w:rPr>
        <w:t>Approved factual note | 22 September 2026</w:t>
      </w:r>
    </w:p>
    <w:p>
      <w:r>
        <w:t>Effective 01 May 2026, source branch W04 (Arroyo Center) was consolidated into source branch W03 (Westgate) for branch-count reporting. The FY2026 branch-count series therefore reports W04 as not active from the effective date; FY2024 and FY2025 are not restated.</w:t>
      </w:r>
    </w:p>
    <w:p>
      <w:pPr>
        <w:pStyle w:val="Quote"/>
      </w:pPr>
      <w:r>
        <w:t>Customer deposit balances, lending balances and financial flows for both source branch identifiers remain included in Western regional totals. Branch-count and per-branch comparisons across the effective date are not like-for-like.</w:t>
      </w:r>
    </w:p>
    <w:p>
      <w:r>
        <w:t>This note is limited to timing and reporting treatment. It does not state a motive, performance assessment or operational recommendation.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2728A"/>
        <w:sz w:val="16"/>
      </w:rPr>
      <w:t>Sandpiper Field Services | Western region | Approved factual wording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72B4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579B8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B1F3A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B1F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