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Willowmere Holdings | Settlement position</w:t>
      </w:r>
    </w:p>
    <w:p>
      <w:r>
        <w:rPr>
          <w:b/>
        </w:rPr>
        <w:t>To: Henrik Oyelaran, Controller</w:t>
        <w:br/>
      </w:r>
      <w:r>
        <w:t>From: Ingrid Aubert, outside CPA</w:t>
        <w:br/>
      </w:r>
      <w:r>
        <w:t>Purpose: Ohio and Kentucky sales-and-use tax audit closing conferences on the 9th</w:t>
      </w:r>
    </w:p>
    <w:p>
      <w:pPr>
        <w:pStyle w:val="Heading1"/>
      </w:pPr>
      <w:r>
        <w:t>Executive position</w:t>
      </w:r>
    </w:p>
    <w:p>
      <w:r>
        <w:t>Proposed assessments are Ohio $24,400, Kentucky $17,550, combined $41,950. Open with the lower-cost policy-permitted issue, Accrual timing (AT), then preserve Certificate cured (CC) as the second move. Do not concede Resale characterization (RX) in the opening package. Any RX movement requires VP Tax approval, written non-precedent language, Ohio coordination, and closure of the affected issue and periods.</w:t>
      </w:r>
    </w:p>
    <w:p>
      <w:pPr>
        <w:pStyle w:val="Heading1"/>
      </w:pPr>
      <w:r>
        <w:t>Scope and pricing</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Jurisdiction</w:t>
            </w:r>
          </w:p>
        </w:tc>
        <w:tc>
          <w:tcPr>
            <w:tcW w:type="dxa" w:w="2102"/>
          </w:tcPr>
          <w:p>
            <w:r>
              <w:t>Period</w:t>
            </w:r>
          </w:p>
        </w:tc>
        <w:tc>
          <w:tcPr>
            <w:tcW w:type="dxa" w:w="2102"/>
          </w:tcPr>
          <w:p>
            <w:r>
              <w:t>AT</w:t>
            </w:r>
          </w:p>
        </w:tc>
        <w:tc>
          <w:tcPr>
            <w:tcW w:type="dxa" w:w="2102"/>
          </w:tcPr>
          <w:p>
            <w:r>
              <w:t>CC</w:t>
            </w:r>
          </w:p>
        </w:tc>
        <w:tc>
          <w:tcPr>
            <w:tcW w:type="dxa" w:w="2102"/>
          </w:tcPr>
          <w:p>
            <w:r>
              <w:t>RX / Total</w:t>
            </w:r>
          </w:p>
        </w:tc>
      </w:tr>
      <w:tr>
        <w:tc>
          <w:tcPr>
            <w:tcW w:type="dxa" w:w="2102"/>
          </w:tcPr>
          <w:p>
            <w:r>
              <w:t>OH 2023 H1</w:t>
            </w:r>
          </w:p>
        </w:tc>
        <w:tc>
          <w:tcPr>
            <w:tcW w:type="dxa" w:w="2102"/>
          </w:tcPr>
          <w:p>
            <w:r>
              <w:t>2023 H1</w:t>
            </w:r>
          </w:p>
        </w:tc>
        <w:tc>
          <w:tcPr>
            <w:tcW w:type="dxa" w:w="2102"/>
          </w:tcPr>
          <w:p>
            <w:r>
              <w:t>0</w:t>
            </w:r>
          </w:p>
        </w:tc>
        <w:tc>
          <w:tcPr>
            <w:tcW w:type="dxa" w:w="2102"/>
          </w:tcPr>
          <w:p>
            <w:r>
              <w:t>1,200</w:t>
            </w:r>
          </w:p>
        </w:tc>
        <w:tc>
          <w:tcPr>
            <w:tcW w:type="dxa" w:w="2102"/>
          </w:tcPr>
          <w:p>
            <w:r>
              <w:t>8,000</w:t>
            </w:r>
          </w:p>
        </w:tc>
      </w:tr>
      <w:tr>
        <w:tc>
          <w:tcPr>
            <w:tcW w:type="dxa" w:w="2102"/>
          </w:tcPr>
          <w:p>
            <w:r>
              <w:t>OH 2023 H2</w:t>
            </w:r>
          </w:p>
        </w:tc>
        <w:tc>
          <w:tcPr>
            <w:tcW w:type="dxa" w:w="2102"/>
          </w:tcPr>
          <w:p>
            <w:r>
              <w:t>2023 H2</w:t>
            </w:r>
          </w:p>
        </w:tc>
        <w:tc>
          <w:tcPr>
            <w:tcW w:type="dxa" w:w="2102"/>
          </w:tcPr>
          <w:p>
            <w:r>
              <w:t>900</w:t>
            </w:r>
          </w:p>
        </w:tc>
        <w:tc>
          <w:tcPr>
            <w:tcW w:type="dxa" w:w="2102"/>
          </w:tcPr>
          <w:p>
            <w:r>
              <w:t>1,800</w:t>
            </w:r>
          </w:p>
        </w:tc>
        <w:tc>
          <w:tcPr>
            <w:tcW w:type="dxa" w:w="2102"/>
          </w:tcPr>
          <w:p>
            <w:r>
              <w:t>12,500</w:t>
            </w:r>
          </w:p>
        </w:tc>
      </w:tr>
      <w:tr>
        <w:tc>
          <w:tcPr>
            <w:tcW w:type="dxa" w:w="2102"/>
          </w:tcPr>
          <w:p>
            <w:r>
              <w:t>OH total</w:t>
            </w:r>
          </w:p>
        </w:tc>
        <w:tc>
          <w:tcPr>
            <w:tcW w:type="dxa" w:w="2102"/>
          </w:tcPr>
          <w:p>
            <w:r/>
          </w:p>
        </w:tc>
        <w:tc>
          <w:tcPr>
            <w:tcW w:type="dxa" w:w="2102"/>
          </w:tcPr>
          <w:p>
            <w:r>
              <w:t>900</w:t>
            </w:r>
          </w:p>
        </w:tc>
        <w:tc>
          <w:tcPr>
            <w:tcW w:type="dxa" w:w="2102"/>
          </w:tcPr>
          <w:p>
            <w:r>
              <w:t>3,000</w:t>
            </w:r>
          </w:p>
        </w:tc>
        <w:tc>
          <w:tcPr>
            <w:tcW w:type="dxa" w:w="2102"/>
          </w:tcPr>
          <w:p>
            <w:r>
              <w:t>24,400</w:t>
            </w:r>
          </w:p>
        </w:tc>
      </w:tr>
      <w:tr>
        <w:tc>
          <w:tcPr>
            <w:tcW w:type="dxa" w:w="2102"/>
          </w:tcPr>
          <w:p>
            <w:r>
              <w:t>KY 2023 H1</w:t>
            </w:r>
          </w:p>
        </w:tc>
        <w:tc>
          <w:tcPr>
            <w:tcW w:type="dxa" w:w="2102"/>
          </w:tcPr>
          <w:p>
            <w:r>
              <w:t>2023 H1</w:t>
            </w:r>
          </w:p>
        </w:tc>
        <w:tc>
          <w:tcPr>
            <w:tcW w:type="dxa" w:w="2102"/>
          </w:tcPr>
          <w:p>
            <w:r>
              <w:t>400</w:t>
            </w:r>
          </w:p>
        </w:tc>
        <w:tc>
          <w:tcPr>
            <w:tcW w:type="dxa" w:w="2102"/>
          </w:tcPr>
          <w:p>
            <w:r>
              <w:t>700</w:t>
            </w:r>
          </w:p>
        </w:tc>
        <w:tc>
          <w:tcPr>
            <w:tcW w:type="dxa" w:w="2102"/>
          </w:tcPr>
          <w:p>
            <w:r>
              <w:t>6,000</w:t>
            </w:r>
          </w:p>
        </w:tc>
      </w:tr>
      <w:tr>
        <w:tc>
          <w:tcPr>
            <w:tcW w:type="dxa" w:w="2102"/>
          </w:tcPr>
          <w:p>
            <w:r>
              <w:t>KY 2023 H2</w:t>
            </w:r>
          </w:p>
        </w:tc>
        <w:tc>
          <w:tcPr>
            <w:tcW w:type="dxa" w:w="2102"/>
          </w:tcPr>
          <w:p>
            <w:r>
              <w:t>2023 H2</w:t>
            </w:r>
          </w:p>
        </w:tc>
        <w:tc>
          <w:tcPr>
            <w:tcW w:type="dxa" w:w="2102"/>
          </w:tcPr>
          <w:p>
            <w:r>
              <w:t>450</w:t>
            </w:r>
          </w:p>
        </w:tc>
        <w:tc>
          <w:tcPr>
            <w:tcW w:type="dxa" w:w="2102"/>
          </w:tcPr>
          <w:p>
            <w:r>
              <w:t>1,000</w:t>
            </w:r>
          </w:p>
        </w:tc>
        <w:tc>
          <w:tcPr>
            <w:tcW w:type="dxa" w:w="2102"/>
          </w:tcPr>
          <w:p>
            <w:r>
              <w:t>9,000</w:t>
            </w:r>
          </w:p>
        </w:tc>
      </w:tr>
      <w:tr>
        <w:tc>
          <w:tcPr>
            <w:tcW w:type="dxa" w:w="2102"/>
          </w:tcPr>
          <w:p>
            <w:r>
              <w:t>KY total</w:t>
            </w:r>
          </w:p>
        </w:tc>
        <w:tc>
          <w:tcPr>
            <w:tcW w:type="dxa" w:w="2102"/>
          </w:tcPr>
          <w:p>
            <w:r/>
          </w:p>
        </w:tc>
        <w:tc>
          <w:tcPr>
            <w:tcW w:type="dxa" w:w="2102"/>
          </w:tcPr>
          <w:p>
            <w:r>
              <w:t>850</w:t>
            </w:r>
          </w:p>
        </w:tc>
        <w:tc>
          <w:tcPr>
            <w:tcW w:type="dxa" w:w="2102"/>
          </w:tcPr>
          <w:p>
            <w:r>
              <w:t>1,700</w:t>
            </w:r>
          </w:p>
        </w:tc>
        <w:tc>
          <w:tcPr>
            <w:tcW w:type="dxa" w:w="2102"/>
          </w:tcPr>
          <w:p>
            <w:r>
              <w:t>17,550</w:t>
            </w:r>
          </w:p>
        </w:tc>
      </w:tr>
    </w:tbl>
    <w:p>
      <w:r>
        <w:t>Issue labels are from Guidance: AT = Accrual timing; CC = Certificate cured; RX = Resale characterization. Every proposal line is counted once in its jurisdictional grain; shared sample joins are normalized with TRIM + UPPER.</w:t>
      </w:r>
    </w:p>
    <w:p>
      <w:pPr>
        <w:pStyle w:val="Heading1"/>
      </w:pPr>
      <w:r>
        <w:t>Period changes and materiality</w:t>
      </w:r>
    </w:p>
    <w:p>
      <w:r>
        <w:t>Policy: material if dollar change is at least $500 OR finite percentage change is at least 25%. A zero earlier amount is shown as N/M (not meaningful) for percentage; the dollar change remains tested.</w:t>
      </w:r>
    </w:p>
    <w:p>
      <w:pPr>
        <w:pStyle w:val="ListBullet"/>
      </w:pPr>
      <w:r>
        <w:t>OH AT: $0 to $900; change $900 (N/M) — material.</w:t>
      </w:r>
    </w:p>
    <w:p>
      <w:pPr>
        <w:pStyle w:val="ListBullet"/>
      </w:pPr>
      <w:r>
        <w:t>OH CC: $1,200 to $1,800; change $600 (50.0%) — material.</w:t>
      </w:r>
    </w:p>
    <w:p>
      <w:pPr>
        <w:pStyle w:val="ListBullet"/>
      </w:pPr>
      <w:r>
        <w:t>OH RX: $8,000 to $12,500; change $4,500 (56.2%) — material.</w:t>
      </w:r>
    </w:p>
    <w:p>
      <w:pPr>
        <w:pStyle w:val="ListBullet"/>
      </w:pPr>
      <w:r>
        <w:t>KY AT: $400 to $450; change $50 (12.5%) — not material.</w:t>
      </w:r>
    </w:p>
    <w:p>
      <w:pPr>
        <w:pStyle w:val="ListBullet"/>
      </w:pPr>
      <w:r>
        <w:t>KY CC: $700 to $1,000; change $300 (42.9%) — material.</w:t>
      </w:r>
    </w:p>
    <w:p>
      <w:pPr>
        <w:pStyle w:val="ListBullet"/>
      </w:pPr>
      <w:r>
        <w:t>KY RX: $6,000 to $9,000; change $3,000 (50.0%) — material.</w:t>
      </w:r>
    </w:p>
    <w:p>
      <w:r>
        <w:t>The RX increase follows the later-period disputed resale transactions in the shared sample. AT reflects invoices posted in the following period. CC reflects certificates missing at sample but cured by the cutoff (2024-03-31); qualifying linked lines total the priced CC amount.</w:t>
      </w:r>
    </w:p>
    <w:p>
      <w:pPr>
        <w:pStyle w:val="Heading1"/>
      </w:pPr>
      <w:r>
        <w:t>Exposure and negotiation sequence</w:t>
      </w:r>
    </w:p>
    <w:p>
      <w:r>
        <w:t>Current audited Ohio RX is $20,500. Separate Ohio open-period exposure is $6,484.50 (2024 H1 $1,812.50; 2024 H2 $2,190.00; 2025 H1 $2,482.00). Prospective annual RX exposure is $5,110.00 (base $70,000 × 7.3%). Kentucky RX is $15,000. A Kentucky RX concession creates a shared resale characterization precedent against Ohio audited periods, all three open periods, and forward treatment.</w:t>
      </w:r>
    </w:p>
    <w:p>
      <w:r>
        <w:t>1. CONCEDE AT: $1,750 combined, only for written AT closure in both audits. 2. CONDITIONAL CC: $4,700 combined, only for acceptance of cutoff-cured certificates and written period closure. Cumulative cheap-issue package: $6,450, within the $7,000 controller cap and issue limits. 3. REFUSE RX absent all protective conditions; if auditors insist, adjourn and escalate to VP Tax. No package exceeds authority or moves RX without approval.</w:t>
      </w:r>
    </w:p>
    <w:p>
      <w:r>
        <w:t>Fallback language: “We can close AT now and address cured certificates next. RX is held pending VP Tax review, written non-precedent treatment, Ohio coordination, and explicit issue/period closure.”</w:t>
      </w:r>
    </w:p>
    <w:p>
      <w:pPr>
        <w:pStyle w:val="Heading1"/>
      </w:pPr>
      <w:r>
        <w:t>Calculation conventions</w:t>
      </w:r>
    </w:p>
    <w:p>
      <w:r>
        <w:t>Currency is rounded to cents after applying full stored precision rates; transaction keys are matched after trimming and upper-casing. Proposal lines remain jurisdiction-period records, so shared transactions are not duplicated.</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