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Wexmoor Media | Narrative Clearance Packet</w:t>
      </w:r>
    </w:p>
    <w:p>
      <w:pPr>
        <w:spacing w:after="200"/>
      </w:pPr>
      <w:r>
        <w:rPr>
          <w:i/>
        </w:rPr>
        <w:t>Offering memorandum working record | prepared for internal review | 18 September 2026</w:t>
      </w:r>
    </w:p>
    <w:p>
      <w:pPr>
        <w:spacing w:after="100"/>
      </w:pPr>
      <w:r>
        <w:t>This packet is the complete supplied record for revision of the offering memorandum narrative. It combines the current draft, approved facts, supplied authority material, comparable support, and review correspondence distilled into the change register below. No external market research or authority interpretation is included or required.</w:t>
      </w:r>
    </w:p>
    <w:p>
      <w:pPr>
        <w:pStyle w:val="Heading1"/>
        <w:spacing w:before="220" w:after="80"/>
      </w:pPr>
      <w:r>
        <w:t>Release Instruction</w:t>
      </w:r>
    </w:p>
    <w:p>
      <w:pPr>
        <w:spacing w:after="100"/>
      </w:pPr>
      <w:r>
        <w:t>Publish the replacement section under the exact heading: Market &amp; Positioning Narrative. The publishable section is to stand alone and may not include source citations, change identifiers, review commentary, or internal discussion. A separate final page must use the exact heading: Internal Clearance Note — Not for Publication.</w:t>
      </w:r>
    </w:p>
    <w:p>
      <w:pPr>
        <w:spacing w:after="100"/>
      </w:pPr>
      <w:r>
        <w:t>Current approved as-of date: 18 September 2026. This date governs the final review state.</w:t>
      </w:r>
    </w:p>
    <w:p>
      <w:pPr>
        <w:pStyle w:val="Heading1"/>
        <w:spacing w:before="220" w:after="80"/>
      </w:pPr>
      <w:r>
        <w:t>Workflow Legend</w:t>
      </w:r>
    </w:p>
    <w:p>
      <w:pPr>
        <w:spacing w:after="100"/>
      </w:pPr>
      <w:r>
        <w:t>The opening draft and earliest approved fact records are the starting state. Change ID is the de-duplication key for the review register: retain the latest effective entry for a Change ID. The latest approved row for a Fact Key controls in the fact schedule. For comparable records, Comp Key is the de-duplication key and the latest effective row controls. Final disposition determines whether a record is usable. In every table, row-level Notes override a conflicting main-column value. Dates may appear in ISO and slash formats; where a Notes cell resolves an otherwise ambiguous date, use that stated interpretation.</w:t>
      </w:r>
    </w:p>
    <w:p>
      <w:pPr>
        <w:spacing w:after="100"/>
      </w:pPr>
      <w:r>
        <w:t>Review dispositions: Apply means the request belongs in the final published narrative; Rejected, Withdrawn, Superseded, and Internal only do not create publishable claims. One applied review item permits either an integrated leaseback disclosure or a distinct occupancy-and-rollover passage within the narrative. Select one treatment only and identify it in the internal clearance note.</w:t>
      </w:r>
    </w:p>
    <w:p>
      <w:pPr>
        <w:pStyle w:val="Heading1"/>
        <w:spacing w:before="220" w:after="80"/>
      </w:pPr>
      <w:r>
        <w:t>Advertising and Disclosure Controls</w:t>
      </w:r>
    </w:p>
    <w:p>
      <w:pPr>
        <w:spacing w:after="100"/>
      </w:pPr>
      <w:r>
        <w:t>Use only supplied, current approved facts. A physical description may state an existing attribute, but may not certify performance, code compliance, fitness, future condition, or suitability for a buyer’s use unless the supplied record does so.</w:t>
      </w:r>
    </w:p>
    <w:p>
      <w:pPr>
        <w:spacing w:after="100"/>
      </w:pPr>
      <w:r>
        <w:t>State a known occupancy event in a manner a reasonable principal will notice. A modeled or assumed closing must be labeled as an assumption. Do not call leased space vacant, immediately available, or available after an expiration unless the supplied record supports that conclusion.</w:t>
      </w:r>
    </w:p>
    <w:p>
      <w:pPr>
        <w:spacing w:after="100"/>
      </w:pPr>
      <w:r>
        <w:t>Planning language must use the supplied designation. Describe only listed permitted uses as permitted. A conditional, discretionary, or approval-dependent use must be qualified at the point of discussion; do not imply an approval, entitlement, or conversion that the authority has not approved.</w:t>
      </w:r>
    </w:p>
    <w:p>
      <w:pPr>
        <w:spacing w:after="100"/>
      </w:pPr>
      <w:r>
        <w:t>Comparable activity is historical context, not a forecast. When used, identify the comparable property or approved descriptor, location, transaction type and status, relevant timing, and source basis in readable narrative form. Do not use an excluded, withdrawn, superseded, or non-comparable record.</w:t>
      </w:r>
    </w:p>
    <w:p>
      <w:pPr>
        <w:spacing w:after="100"/>
      </w:pPr>
      <w:r>
        <w:t>Avoid superlatives, projections, assurances about value, rent, demand, buyer response, construction cost, conversion scope, delivery timing, return, approvals, or tenant intentions. The memorandum must stand on its own and may not rely on buyer-list conversations, private reactions, or presumed knowledge.</w:t>
      </w:r>
    </w:p>
    <w:p>
      <w:pPr>
        <w:pStyle w:val="Heading1"/>
        <w:spacing w:before="220" w:after="80"/>
      </w:pPr>
      <w:r>
        <w:t>Supplied Flintridge Authority Excerpt</w:t>
      </w:r>
    </w:p>
    <w:p>
      <w:pPr>
        <w:spacing w:after="100"/>
      </w:pPr>
      <w:r>
        <w:t>Planning Services memorandum, 02 June 2026. The subject parcel is designated MPS-2 — Media Production and Services District. The excerpt is supplied for narrative purposes only; it is not a zoning verification or project approval.</w:t>
      </w:r>
    </w:p>
    <w:tbl>
      <w:tblPr>
        <w:tblStyle w:val="TableGrid"/>
        <w:tblW w:type="auto" w:w="0"/>
        <w:jc w:val="center"/>
        <w:tblLook w:firstColumn="1" w:firstRow="1" w:lastColumn="0" w:lastRow="0" w:noHBand="0" w:noVBand="1" w:val="04A0"/>
        <w:tblBorders>
          <w:top w:val="single" w:sz="4" w:color="D8DDE3"/>
          <w:left w:val="single" w:sz="4" w:color="D8DDE3"/>
          <w:bottom w:val="single" w:sz="4" w:color="D8DDE3"/>
          <w:right w:val="single" w:sz="4" w:color="D8DDE3"/>
          <w:insideH w:val="single" w:sz="4" w:color="D8DDE3"/>
          <w:insideV w:val="single" w:sz="4" w:color="D8DDE3"/>
        </w:tblBorders>
      </w:tblPr>
      <w:tblGrid>
        <w:gridCol w:w="5083"/>
        <w:gridCol w:w="5083"/>
      </w:tblGrid>
      <w:tr>
        <w:tc>
          <w:tcPr>
            <w:tcW w:type="dxa" w:w="2016"/>
            <w:shd w:fill="17324D"/>
            <w:vAlign w:val="center"/>
          </w:tcPr>
          <w:p>
            <w:r>
              <w:rPr>
                <w:b/>
                <w:color w:val="FFFFFF"/>
                <w:sz w:val="16"/>
              </w:rPr>
              <w:t>Classification</w:t>
            </w:r>
          </w:p>
        </w:tc>
        <w:tc>
          <w:tcPr>
            <w:tcW w:type="dxa" w:w="8352"/>
            <w:shd w:fill="17324D"/>
            <w:vAlign w:val="center"/>
          </w:tcPr>
          <w:p>
            <w:r>
              <w:rPr>
                <w:b/>
                <w:color w:val="FFFFFF"/>
                <w:sz w:val="16"/>
              </w:rPr>
              <w:t>Text supplied for this assignment</w:t>
            </w:r>
          </w:p>
        </w:tc>
      </w:tr>
      <w:tr>
        <w:tc>
          <w:tcPr>
            <w:tcW w:type="dxa" w:w="2016"/>
            <w:vAlign w:val="center"/>
          </w:tcPr>
          <w:p>
            <w:pPr>
              <w:spacing w:after="0" w:before="0"/>
            </w:pPr>
            <w:r>
              <w:rPr>
                <w:sz w:val="15"/>
              </w:rPr>
              <w:t>Permitted in MPS-2</w:t>
            </w:r>
          </w:p>
        </w:tc>
        <w:tc>
          <w:tcPr>
            <w:tcW w:type="dxa" w:w="8352"/>
            <w:vAlign w:val="center"/>
          </w:tcPr>
          <w:p>
            <w:pPr>
              <w:spacing w:after="0" w:before="0"/>
            </w:pPr>
            <w:r>
              <w:rPr>
                <w:sz w:val="15"/>
              </w:rPr>
              <w:t>Motion-picture, television, and streaming-production stages; post-production, sound editing, and media-production offices; rehearsal and pre-production spaces ancillary to media production; and equipment storage and servicing ancillary to a permitted media-production use.</w:t>
            </w:r>
          </w:p>
        </w:tc>
      </w:tr>
      <w:tr>
        <w:tc>
          <w:tcPr>
            <w:tcW w:type="dxa" w:w="2016"/>
            <w:vAlign w:val="center"/>
            <w:shd w:fill="F3F6F8"/>
          </w:tcPr>
          <w:p>
            <w:pPr>
              <w:spacing w:after="0" w:before="0"/>
            </w:pPr>
            <w:r>
              <w:rPr>
                <w:sz w:val="15"/>
              </w:rPr>
              <w:t>Conditional / approval-dependent</w:t>
            </w:r>
          </w:p>
        </w:tc>
        <w:tc>
          <w:tcPr>
            <w:tcW w:type="dxa" w:w="8352"/>
            <w:vAlign w:val="center"/>
            <w:shd w:fill="F3F6F8"/>
          </w:tcPr>
          <w:p>
            <w:pPr>
              <w:spacing w:after="0" w:before="0"/>
            </w:pPr>
            <w:r>
              <w:rPr>
                <w:sz w:val="15"/>
              </w:rPr>
              <w:t>General office not ancillary to media production and vocational or production-training facilities may be considered only with a Conditional Use Permit and any other applicable approvals.</w:t>
            </w:r>
          </w:p>
        </w:tc>
      </w:tr>
      <w:tr>
        <w:tc>
          <w:tcPr>
            <w:tcW w:type="dxa" w:w="2016"/>
            <w:vAlign w:val="center"/>
          </w:tcPr>
          <w:p>
            <w:pPr>
              <w:spacing w:after="0" w:before="0"/>
            </w:pPr>
            <w:r>
              <w:rPr>
                <w:sz w:val="15"/>
              </w:rPr>
              <w:t>Authority limitation</w:t>
            </w:r>
          </w:p>
        </w:tc>
        <w:tc>
          <w:tcPr>
            <w:tcW w:type="dxa" w:w="8352"/>
            <w:vAlign w:val="center"/>
          </w:tcPr>
          <w:p>
            <w:pPr>
              <w:spacing w:after="0" w:before="0"/>
            </w:pPr>
            <w:r>
              <w:rPr>
                <w:sz w:val="15"/>
              </w:rPr>
              <w:t>Flintridge Authority has not reviewed or approved a conversion, change of use, entitlement, occupancy classification, parking determination, or building-code compliance for the property.</w:t>
            </w:r>
          </w:p>
        </w:tc>
      </w:tr>
    </w:tbl>
    <w:p>
      <w:pPr>
        <w:spacing w:after="20"/>
      </w:pPr>
    </w:p>
    <w:p>
      <w:pPr>
        <w:pStyle w:val="Heading1"/>
        <w:spacing w:before="220" w:after="80"/>
      </w:pPr>
      <w:r>
        <w:t>Initial Draft Narrative (superseded working copy)</w:t>
      </w:r>
    </w:p>
    <w:p>
      <w:pPr>
        <w:spacing w:after="100"/>
      </w:pPr>
      <w:r>
        <w:t>Wexmoor Media’s best-in-class 83,640 square foot studio campus presents an immediate vacant delivery opportunity in Flintridge’s premier media corridor. With four turnkey sound stages, abundant power, and a fully entitled path to creative office or training use, the property is positioned to capture exceptional tenant demand and future appreciation. Buyers already familiar with Wexmoor’s planned departure know the principal stage will be open at closing. Recent activity at Marlow Content Campus proves this property can command a premium outcome. Wexmoor is expected to renew as production expands, providing dependable income while an owner prepares a conversion.</w:t>
      </w:r>
    </w:p>
    <w:p>
      <w:pPr>
        <w:pStyle w:val="Heading1"/>
        <w:spacing w:before="220" w:after="80"/>
      </w:pPr>
      <w:r>
        <w:t>Approved Property and Transaction Fact Schedule</w:t>
      </w:r>
    </w:p>
    <w:tbl>
      <w:tblPr>
        <w:tblStyle w:val="TableGrid"/>
        <w:tblW w:type="auto" w:w="0"/>
        <w:jc w:val="center"/>
        <w:tblLook w:firstColumn="1" w:firstRow="1" w:lastColumn="0" w:lastRow="0" w:noHBand="0" w:noVBand="1" w:val="04A0"/>
        <w:tblBorders>
          <w:top w:val="single" w:sz="4" w:color="D8DDE3"/>
          <w:left w:val="single" w:sz="4" w:color="D8DDE3"/>
          <w:bottom w:val="single" w:sz="4" w:color="D8DDE3"/>
          <w:right w:val="single" w:sz="4" w:color="D8DDE3"/>
          <w:insideH w:val="single" w:sz="4" w:color="D8DDE3"/>
          <w:insideV w:val="single" w:sz="4" w:color="D8DDE3"/>
        </w:tblBorders>
      </w:tblPr>
      <w:tblGrid>
        <w:gridCol w:w="1452"/>
        <w:gridCol w:w="1452"/>
        <w:gridCol w:w="1452"/>
        <w:gridCol w:w="1452"/>
        <w:gridCol w:w="1452"/>
        <w:gridCol w:w="1452"/>
        <w:gridCol w:w="1452"/>
      </w:tblGrid>
      <w:tr>
        <w:tc>
          <w:tcPr>
            <w:tcW w:type="dxa" w:w="792"/>
            <w:shd w:fill="17324D"/>
            <w:vAlign w:val="center"/>
          </w:tcPr>
          <w:p>
            <w:r>
              <w:rPr>
                <w:b/>
                <w:color w:val="FFFFFF"/>
                <w:sz w:val="16"/>
              </w:rPr>
              <w:t>Fact Key</w:t>
            </w:r>
          </w:p>
        </w:tc>
        <w:tc>
          <w:tcPr>
            <w:tcW w:type="dxa" w:w="864"/>
            <w:shd w:fill="17324D"/>
            <w:vAlign w:val="center"/>
          </w:tcPr>
          <w:p>
            <w:r>
              <w:rPr>
                <w:b/>
                <w:color w:val="FFFFFF"/>
                <w:sz w:val="16"/>
              </w:rPr>
              <w:t>Effective</w:t>
            </w:r>
          </w:p>
        </w:tc>
        <w:tc>
          <w:tcPr>
            <w:tcW w:type="dxa" w:w="936"/>
            <w:shd w:fill="17324D"/>
            <w:vAlign w:val="center"/>
          </w:tcPr>
          <w:p>
            <w:r>
              <w:rPr>
                <w:b/>
                <w:color w:val="FFFFFF"/>
                <w:sz w:val="16"/>
              </w:rPr>
              <w:t>Category</w:t>
            </w:r>
          </w:p>
        </w:tc>
        <w:tc>
          <w:tcPr>
            <w:tcW w:type="dxa" w:w="1224"/>
            <w:shd w:fill="17324D"/>
            <w:vAlign w:val="center"/>
          </w:tcPr>
          <w:p>
            <w:r>
              <w:rPr>
                <w:b/>
                <w:color w:val="FFFFFF"/>
                <w:sz w:val="16"/>
              </w:rPr>
              <w:t>Fact</w:t>
            </w:r>
          </w:p>
        </w:tc>
        <w:tc>
          <w:tcPr>
            <w:tcW w:type="dxa" w:w="2304"/>
            <w:shd w:fill="17324D"/>
            <w:vAlign w:val="center"/>
          </w:tcPr>
          <w:p>
            <w:r>
              <w:rPr>
                <w:b/>
                <w:color w:val="FFFFFF"/>
                <w:sz w:val="16"/>
              </w:rPr>
              <w:t>Value</w:t>
            </w:r>
          </w:p>
        </w:tc>
        <w:tc>
          <w:tcPr>
            <w:tcW w:type="dxa" w:w="893"/>
            <w:shd w:fill="17324D"/>
            <w:vAlign w:val="center"/>
          </w:tcPr>
          <w:p>
            <w:r>
              <w:rPr>
                <w:b/>
                <w:color w:val="FFFFFF"/>
                <w:sz w:val="16"/>
              </w:rPr>
              <w:t>Status</w:t>
            </w:r>
          </w:p>
        </w:tc>
        <w:tc>
          <w:tcPr>
            <w:tcW w:type="dxa" w:w="3024"/>
            <w:shd w:fill="17324D"/>
            <w:vAlign w:val="center"/>
          </w:tcPr>
          <w:p>
            <w:r>
              <w:rPr>
                <w:b/>
                <w:color w:val="FFFFFF"/>
                <w:sz w:val="16"/>
              </w:rPr>
              <w:t>Notes</w:t>
            </w:r>
          </w:p>
        </w:tc>
      </w:tr>
      <w:tr>
        <w:tc>
          <w:tcPr>
            <w:tcW w:type="dxa" w:w="792"/>
            <w:vAlign w:val="center"/>
          </w:tcPr>
          <w:p>
            <w:pPr>
              <w:spacing w:after="0" w:before="0"/>
            </w:pPr>
            <w:r>
              <w:rPr>
                <w:sz w:val="15"/>
              </w:rPr>
              <w:t>P-LOC</w:t>
            </w:r>
          </w:p>
        </w:tc>
        <w:tc>
          <w:tcPr>
            <w:tcW w:type="dxa" w:w="864"/>
            <w:vAlign w:val="center"/>
          </w:tcPr>
          <w:p>
            <w:pPr>
              <w:spacing w:after="0" w:before="0"/>
            </w:pPr>
            <w:r>
              <w:rPr>
                <w:sz w:val="15"/>
              </w:rPr>
              <w:t>2026-05-20</w:t>
            </w:r>
          </w:p>
        </w:tc>
        <w:tc>
          <w:tcPr>
            <w:tcW w:type="dxa" w:w="936"/>
            <w:vAlign w:val="center"/>
          </w:tcPr>
          <w:p>
            <w:pPr>
              <w:spacing w:after="0" w:before="0"/>
            </w:pPr>
            <w:r>
              <w:rPr>
                <w:sz w:val="15"/>
              </w:rPr>
              <w:t>Location</w:t>
            </w:r>
          </w:p>
        </w:tc>
        <w:tc>
          <w:tcPr>
            <w:tcW w:type="dxa" w:w="1224"/>
            <w:vAlign w:val="center"/>
          </w:tcPr>
          <w:p>
            <w:pPr>
              <w:spacing w:after="0" w:before="0"/>
            </w:pPr>
            <w:r>
              <w:rPr>
                <w:sz w:val="15"/>
              </w:rPr>
              <w:t>Street address</w:t>
            </w:r>
          </w:p>
        </w:tc>
        <w:tc>
          <w:tcPr>
            <w:tcW w:type="dxa" w:w="2304"/>
            <w:vAlign w:val="center"/>
          </w:tcPr>
          <w:p>
            <w:pPr>
              <w:spacing w:after="0" w:before="0"/>
            </w:pPr>
            <w:r>
              <w:rPr>
                <w:sz w:val="15"/>
              </w:rPr>
              <w:t>7300 North Corbin Avenue, Flintridge, California</w:t>
            </w:r>
          </w:p>
        </w:tc>
        <w:tc>
          <w:tcPr>
            <w:tcW w:type="dxa" w:w="893"/>
            <w:vAlign w:val="center"/>
          </w:tcPr>
          <w:p>
            <w:pPr>
              <w:spacing w:after="0" w:before="0"/>
            </w:pPr>
            <w:r>
              <w:rPr>
                <w:sz w:val="15"/>
              </w:rPr>
              <w:t>Approved</w:t>
            </w:r>
          </w:p>
        </w:tc>
        <w:tc>
          <w:tcPr>
            <w:tcW w:type="dxa" w:w="3024"/>
            <w:vAlign w:val="center"/>
          </w:tcPr>
          <w:p>
            <w:pPr>
              <w:spacing w:after="0" w:before="0"/>
            </w:pPr>
            <w:r>
              <w:rPr>
                <w:sz w:val="15"/>
              </w:rPr>
              <w:t>Located in the Flintridge industrial district. Vehicular ingress is from North Corbin Avenue; a service connection reaches West Dorsey Road.</w:t>
            </w:r>
          </w:p>
        </w:tc>
      </w:tr>
      <w:tr>
        <w:tc>
          <w:tcPr>
            <w:tcW w:type="dxa" w:w="792"/>
            <w:vAlign w:val="center"/>
            <w:shd w:fill="F3F6F8"/>
          </w:tcPr>
          <w:p>
            <w:pPr>
              <w:spacing w:after="0" w:before="0"/>
            </w:pPr>
            <w:r>
              <w:rPr>
                <w:sz w:val="15"/>
              </w:rPr>
              <w:t>P-AREA</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Building</w:t>
            </w:r>
          </w:p>
        </w:tc>
        <w:tc>
          <w:tcPr>
            <w:tcW w:type="dxa" w:w="1224"/>
            <w:vAlign w:val="center"/>
            <w:shd w:fill="F3F6F8"/>
          </w:tcPr>
          <w:p>
            <w:pPr>
              <w:spacing w:after="0" w:before="0"/>
            </w:pPr>
            <w:r>
              <w:rPr>
                <w:sz w:val="15"/>
              </w:rPr>
              <w:t>Gross building area</w:t>
            </w:r>
          </w:p>
        </w:tc>
        <w:tc>
          <w:tcPr>
            <w:tcW w:type="dxa" w:w="2304"/>
            <w:vAlign w:val="center"/>
            <w:shd w:fill="F3F6F8"/>
          </w:tcPr>
          <w:p>
            <w:pPr>
              <w:spacing w:after="0" w:before="0"/>
            </w:pPr>
            <w:r>
              <w:rPr>
                <w:sz w:val="15"/>
              </w:rPr>
              <w:t>83,640 square feet</w:t>
            </w:r>
          </w:p>
        </w:tc>
        <w:tc>
          <w:tcPr>
            <w:tcW w:type="dxa" w:w="893"/>
            <w:vAlign w:val="center"/>
            <w:shd w:fill="F3F6F8"/>
          </w:tcPr>
          <w:p>
            <w:pPr>
              <w:spacing w:after="0" w:before="0"/>
            </w:pPr>
            <w:r>
              <w:rPr>
                <w:sz w:val="15"/>
              </w:rPr>
              <w:t>Superseded</w:t>
            </w:r>
          </w:p>
        </w:tc>
        <w:tc>
          <w:tcPr>
            <w:tcW w:type="dxa" w:w="3024"/>
            <w:vAlign w:val="center"/>
            <w:shd w:fill="F3F6F8"/>
          </w:tcPr>
          <w:p>
            <w:pPr>
              <w:spacing w:after="0" w:before="0"/>
            </w:pPr>
            <w:r>
              <w:rPr>
                <w:sz w:val="15"/>
              </w:rPr>
              <w:t>Earlier measurement; replaced by later approved row.</w:t>
            </w:r>
          </w:p>
        </w:tc>
      </w:tr>
      <w:tr>
        <w:tc>
          <w:tcPr>
            <w:tcW w:type="dxa" w:w="792"/>
            <w:vAlign w:val="center"/>
          </w:tcPr>
          <w:p>
            <w:pPr>
              <w:spacing w:after="0" w:before="0"/>
            </w:pPr>
            <w:r>
              <w:rPr>
                <w:sz w:val="15"/>
              </w:rPr>
              <w:t>P-AREA</w:t>
            </w:r>
          </w:p>
        </w:tc>
        <w:tc>
          <w:tcPr>
            <w:tcW w:type="dxa" w:w="864"/>
            <w:vAlign w:val="center"/>
          </w:tcPr>
          <w:p>
            <w:pPr>
              <w:spacing w:after="0" w:before="0"/>
            </w:pPr>
            <w:r>
              <w:rPr>
                <w:sz w:val="15"/>
              </w:rPr>
              <w:t>2026-08-29</w:t>
            </w:r>
          </w:p>
        </w:tc>
        <w:tc>
          <w:tcPr>
            <w:tcW w:type="dxa" w:w="936"/>
            <w:vAlign w:val="center"/>
          </w:tcPr>
          <w:p>
            <w:pPr>
              <w:spacing w:after="0" w:before="0"/>
            </w:pPr>
            <w:r>
              <w:rPr>
                <w:sz w:val="15"/>
              </w:rPr>
              <w:t>Building</w:t>
            </w:r>
          </w:p>
        </w:tc>
        <w:tc>
          <w:tcPr>
            <w:tcW w:type="dxa" w:w="1224"/>
            <w:vAlign w:val="center"/>
          </w:tcPr>
          <w:p>
            <w:pPr>
              <w:spacing w:after="0" w:before="0"/>
            </w:pPr>
            <w:r>
              <w:rPr>
                <w:sz w:val="15"/>
              </w:rPr>
              <w:t>Gross building area</w:t>
            </w:r>
          </w:p>
        </w:tc>
        <w:tc>
          <w:tcPr>
            <w:tcW w:type="dxa" w:w="2304"/>
            <w:vAlign w:val="center"/>
          </w:tcPr>
          <w:p>
            <w:pPr>
              <w:spacing w:after="0" w:before="0"/>
            </w:pPr>
            <w:r>
              <w:rPr>
                <w:sz w:val="15"/>
              </w:rPr>
              <w:t>84,180 square feet</w:t>
            </w:r>
          </w:p>
        </w:tc>
        <w:tc>
          <w:tcPr>
            <w:tcW w:type="dxa" w:w="893"/>
            <w:vAlign w:val="center"/>
          </w:tcPr>
          <w:p>
            <w:pPr>
              <w:spacing w:after="0" w:before="0"/>
            </w:pPr>
            <w:r>
              <w:rPr>
                <w:sz w:val="15"/>
              </w:rPr>
              <w:t>Approved</w:t>
            </w:r>
          </w:p>
        </w:tc>
        <w:tc>
          <w:tcPr>
            <w:tcW w:type="dxa" w:w="3024"/>
            <w:vAlign w:val="center"/>
          </w:tcPr>
          <w:p>
            <w:pPr>
              <w:spacing w:after="0" w:before="0"/>
            </w:pPr>
            <w:r>
              <w:rPr>
                <w:sz w:val="15"/>
              </w:rPr>
              <w:t>Override: use 84,120 square feet, based on the 28 Aug 2026 measured area schedule.</w:t>
            </w:r>
          </w:p>
        </w:tc>
      </w:tr>
      <w:tr>
        <w:tc>
          <w:tcPr>
            <w:tcW w:type="dxa" w:w="792"/>
            <w:vAlign w:val="center"/>
            <w:shd w:fill="F3F6F8"/>
          </w:tcPr>
          <w:p>
            <w:pPr>
              <w:spacing w:after="0" w:before="0"/>
            </w:pPr>
            <w:r>
              <w:rPr>
                <w:sz w:val="15"/>
              </w:rPr>
              <w:t>P-SITE</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Site</w:t>
            </w:r>
          </w:p>
        </w:tc>
        <w:tc>
          <w:tcPr>
            <w:tcW w:type="dxa" w:w="1224"/>
            <w:vAlign w:val="center"/>
            <w:shd w:fill="F3F6F8"/>
          </w:tcPr>
          <w:p>
            <w:pPr>
              <w:spacing w:after="0" w:before="0"/>
            </w:pPr>
            <w:r>
              <w:rPr>
                <w:sz w:val="15"/>
              </w:rPr>
              <w:t>Site area</w:t>
            </w:r>
          </w:p>
        </w:tc>
        <w:tc>
          <w:tcPr>
            <w:tcW w:type="dxa" w:w="2304"/>
            <w:vAlign w:val="center"/>
            <w:shd w:fill="F3F6F8"/>
          </w:tcPr>
          <w:p>
            <w:pPr>
              <w:spacing w:after="0" w:before="0"/>
            </w:pPr>
            <w:r>
              <w:rPr>
                <w:sz w:val="15"/>
              </w:rPr>
              <w:t>4.31 acres</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r>
          </w:p>
        </w:tc>
      </w:tr>
      <w:tr>
        <w:tc>
          <w:tcPr>
            <w:tcW w:type="dxa" w:w="792"/>
            <w:vAlign w:val="center"/>
          </w:tcPr>
          <w:p>
            <w:pPr>
              <w:spacing w:after="0" w:before="0"/>
            </w:pPr>
            <w:r>
              <w:rPr>
                <w:sz w:val="15"/>
              </w:rPr>
              <w:t>P-PROD</w:t>
            </w:r>
          </w:p>
        </w:tc>
        <w:tc>
          <w:tcPr>
            <w:tcW w:type="dxa" w:w="864"/>
            <w:vAlign w:val="center"/>
          </w:tcPr>
          <w:p>
            <w:pPr>
              <w:spacing w:after="0" w:before="0"/>
            </w:pPr>
            <w:r>
              <w:rPr>
                <w:sz w:val="15"/>
              </w:rPr>
              <w:t>2026-05-20</w:t>
            </w:r>
          </w:p>
        </w:tc>
        <w:tc>
          <w:tcPr>
            <w:tcW w:type="dxa" w:w="936"/>
            <w:vAlign w:val="center"/>
          </w:tcPr>
          <w:p>
            <w:pPr>
              <w:spacing w:after="0" w:before="0"/>
            </w:pPr>
            <w:r>
              <w:rPr>
                <w:sz w:val="15"/>
              </w:rPr>
              <w:t>Production</w:t>
            </w:r>
          </w:p>
        </w:tc>
        <w:tc>
          <w:tcPr>
            <w:tcW w:type="dxa" w:w="1224"/>
            <w:vAlign w:val="center"/>
          </w:tcPr>
          <w:p>
            <w:pPr>
              <w:spacing w:after="0" w:before="0"/>
            </w:pPr>
            <w:r>
              <w:rPr>
                <w:sz w:val="15"/>
              </w:rPr>
              <w:t>Production volumes</w:t>
            </w:r>
          </w:p>
        </w:tc>
        <w:tc>
          <w:tcPr>
            <w:tcW w:type="dxa" w:w="2304"/>
            <w:vAlign w:val="center"/>
          </w:tcPr>
          <w:p>
            <w:pPr>
              <w:spacing w:after="0" w:before="0"/>
            </w:pPr>
            <w:r>
              <w:rPr>
                <w:sz w:val="15"/>
              </w:rPr>
              <w:t>Four turnkey sound stages</w:t>
            </w:r>
          </w:p>
        </w:tc>
        <w:tc>
          <w:tcPr>
            <w:tcW w:type="dxa" w:w="893"/>
            <w:vAlign w:val="center"/>
          </w:tcPr>
          <w:p>
            <w:pPr>
              <w:spacing w:after="0" w:before="0"/>
            </w:pPr>
            <w:r>
              <w:rPr>
                <w:sz w:val="15"/>
              </w:rPr>
              <w:t>Superseded</w:t>
            </w:r>
          </w:p>
        </w:tc>
        <w:tc>
          <w:tcPr>
            <w:tcW w:type="dxa" w:w="3024"/>
            <w:vAlign w:val="center"/>
          </w:tcPr>
          <w:p>
            <w:pPr>
              <w:spacing w:after="0" w:before="0"/>
            </w:pPr>
            <w:r>
              <w:rPr>
                <w:sz w:val="15"/>
              </w:rPr>
              <w:t>Earlier broker description; do not use.</w:t>
            </w:r>
          </w:p>
        </w:tc>
      </w:tr>
      <w:tr>
        <w:tc>
          <w:tcPr>
            <w:tcW w:type="dxa" w:w="792"/>
            <w:vAlign w:val="center"/>
            <w:shd w:fill="F3F6F8"/>
          </w:tcPr>
          <w:p>
            <w:pPr>
              <w:spacing w:after="0" w:before="0"/>
            </w:pPr>
            <w:r>
              <w:rPr>
                <w:sz w:val="15"/>
              </w:rPr>
              <w:t>P-PROD</w:t>
            </w:r>
          </w:p>
        </w:tc>
        <w:tc>
          <w:tcPr>
            <w:tcW w:type="dxa" w:w="864"/>
            <w:vAlign w:val="center"/>
            <w:shd w:fill="F3F6F8"/>
          </w:tcPr>
          <w:p>
            <w:pPr>
              <w:spacing w:after="0" w:before="0"/>
            </w:pPr>
            <w:r>
              <w:rPr>
                <w:sz w:val="15"/>
              </w:rPr>
              <w:t>2026-08-29</w:t>
            </w:r>
          </w:p>
        </w:tc>
        <w:tc>
          <w:tcPr>
            <w:tcW w:type="dxa" w:w="936"/>
            <w:vAlign w:val="center"/>
            <w:shd w:fill="F3F6F8"/>
          </w:tcPr>
          <w:p>
            <w:pPr>
              <w:spacing w:after="0" w:before="0"/>
            </w:pPr>
            <w:r>
              <w:rPr>
                <w:sz w:val="15"/>
              </w:rPr>
              <w:t>Production</w:t>
            </w:r>
          </w:p>
        </w:tc>
        <w:tc>
          <w:tcPr>
            <w:tcW w:type="dxa" w:w="1224"/>
            <w:vAlign w:val="center"/>
            <w:shd w:fill="F3F6F8"/>
          </w:tcPr>
          <w:p>
            <w:pPr>
              <w:spacing w:after="0" w:before="0"/>
            </w:pPr>
            <w:r>
              <w:rPr>
                <w:sz w:val="15"/>
              </w:rPr>
              <w:t>Production volumes</w:t>
            </w:r>
          </w:p>
        </w:tc>
        <w:tc>
          <w:tcPr>
            <w:tcW w:type="dxa" w:w="2304"/>
            <w:vAlign w:val="center"/>
            <w:shd w:fill="F3F6F8"/>
          </w:tcPr>
          <w:p>
            <w:pPr>
              <w:spacing w:after="0" w:before="0"/>
            </w:pPr>
            <w:r>
              <w:rPr>
                <w:sz w:val="15"/>
              </w:rPr>
              <w:t>Two sound stages and one production support volume</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The final property description is a former soundstage and post-production facility; do not label the support volume a stage.</w:t>
            </w:r>
          </w:p>
        </w:tc>
      </w:tr>
      <w:tr>
        <w:tc>
          <w:tcPr>
            <w:tcW w:type="dxa" w:w="792"/>
            <w:vAlign w:val="center"/>
          </w:tcPr>
          <w:p>
            <w:pPr>
              <w:spacing w:after="0" w:before="0"/>
            </w:pPr>
            <w:r>
              <w:rPr>
                <w:sz w:val="15"/>
              </w:rPr>
              <w:t>P-STAGE-A</w:t>
            </w:r>
          </w:p>
        </w:tc>
        <w:tc>
          <w:tcPr>
            <w:tcW w:type="dxa" w:w="864"/>
            <w:vAlign w:val="center"/>
          </w:tcPr>
          <w:p>
            <w:pPr>
              <w:spacing w:after="0" w:before="0"/>
            </w:pPr>
            <w:r>
              <w:rPr>
                <w:sz w:val="15"/>
              </w:rPr>
              <w:t>2026-05-20</w:t>
            </w:r>
          </w:p>
        </w:tc>
        <w:tc>
          <w:tcPr>
            <w:tcW w:type="dxa" w:w="936"/>
            <w:vAlign w:val="center"/>
          </w:tcPr>
          <w:p>
            <w:pPr>
              <w:spacing w:after="0" w:before="0"/>
            </w:pPr>
            <w:r>
              <w:rPr>
                <w:sz w:val="15"/>
              </w:rPr>
              <w:t>Production</w:t>
            </w:r>
          </w:p>
        </w:tc>
        <w:tc>
          <w:tcPr>
            <w:tcW w:type="dxa" w:w="1224"/>
            <w:vAlign w:val="center"/>
          </w:tcPr>
          <w:p>
            <w:pPr>
              <w:spacing w:after="0" w:before="0"/>
            </w:pPr>
            <w:r>
              <w:rPr>
                <w:sz w:val="15"/>
              </w:rPr>
              <w:t>Principal sound stage</w:t>
            </w:r>
          </w:p>
        </w:tc>
        <w:tc>
          <w:tcPr>
            <w:tcW w:type="dxa" w:w="2304"/>
            <w:vAlign w:val="center"/>
          </w:tcPr>
          <w:p>
            <w:pPr>
              <w:spacing w:after="0" w:before="0"/>
            </w:pPr>
            <w:r>
              <w:rPr>
                <w:sz w:val="15"/>
              </w:rPr>
              <w:t>Stage A: 18,500 square feet; 32-foot clear height; acoustically treated wall assemblies; one grade-level loading door</w:t>
            </w:r>
          </w:p>
        </w:tc>
        <w:tc>
          <w:tcPr>
            <w:tcW w:type="dxa" w:w="893"/>
            <w:vAlign w:val="center"/>
          </w:tcPr>
          <w:p>
            <w:pPr>
              <w:spacing w:after="0" w:before="0"/>
            </w:pPr>
            <w:r>
              <w:rPr>
                <w:sz w:val="15"/>
              </w:rPr>
              <w:t>Approved</w:t>
            </w:r>
          </w:p>
        </w:tc>
        <w:tc>
          <w:tcPr>
            <w:tcW w:type="dxa" w:w="3024"/>
            <w:vAlign w:val="center"/>
          </w:tcPr>
          <w:p>
            <w:pPr>
              <w:spacing w:after="0" w:before="0"/>
            </w:pPr>
            <w:r>
              <w:rPr>
                <w:sz w:val="15"/>
              </w:rPr>
              <w:t>Existing attributes only; no acoustic certification or operational performance representation.</w:t>
            </w:r>
          </w:p>
        </w:tc>
      </w:tr>
      <w:tr>
        <w:tc>
          <w:tcPr>
            <w:tcW w:type="dxa" w:w="792"/>
            <w:vAlign w:val="center"/>
            <w:shd w:fill="F3F6F8"/>
          </w:tcPr>
          <w:p>
            <w:pPr>
              <w:spacing w:after="0" w:before="0"/>
            </w:pPr>
            <w:r>
              <w:rPr>
                <w:sz w:val="15"/>
              </w:rPr>
              <w:t>P-STAGE-B</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Production</w:t>
            </w:r>
          </w:p>
        </w:tc>
        <w:tc>
          <w:tcPr>
            <w:tcW w:type="dxa" w:w="1224"/>
            <w:vAlign w:val="center"/>
            <w:shd w:fill="F3F6F8"/>
          </w:tcPr>
          <w:p>
            <w:pPr>
              <w:spacing w:after="0" w:before="0"/>
            </w:pPr>
            <w:r>
              <w:rPr>
                <w:sz w:val="15"/>
              </w:rPr>
              <w:t>Second sound stage</w:t>
            </w:r>
          </w:p>
        </w:tc>
        <w:tc>
          <w:tcPr>
            <w:tcW w:type="dxa" w:w="2304"/>
            <w:vAlign w:val="center"/>
            <w:shd w:fill="F3F6F8"/>
          </w:tcPr>
          <w:p>
            <w:pPr>
              <w:spacing w:after="0" w:before="0"/>
            </w:pPr>
            <w:r>
              <w:rPr>
                <w:sz w:val="15"/>
              </w:rPr>
              <w:t>Stage B: 14,300 square feet; 28-foot clear height; acoustically treated wall assemblies</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Existing attributes only; no acoustic certification or operational performance representation.</w:t>
            </w:r>
          </w:p>
        </w:tc>
      </w:tr>
      <w:tr>
        <w:tc>
          <w:tcPr>
            <w:tcW w:type="dxa" w:w="792"/>
            <w:vAlign w:val="center"/>
          </w:tcPr>
          <w:p>
            <w:pPr>
              <w:spacing w:after="0" w:before="0"/>
            </w:pPr>
            <w:r>
              <w:rPr>
                <w:sz w:val="15"/>
              </w:rPr>
              <w:t>P-SUPPORT</w:t>
            </w:r>
          </w:p>
        </w:tc>
        <w:tc>
          <w:tcPr>
            <w:tcW w:type="dxa" w:w="864"/>
            <w:vAlign w:val="center"/>
          </w:tcPr>
          <w:p>
            <w:pPr>
              <w:spacing w:after="0" w:before="0"/>
            </w:pPr>
            <w:r>
              <w:rPr>
                <w:sz w:val="15"/>
              </w:rPr>
              <w:t>2026-05-20</w:t>
            </w:r>
          </w:p>
        </w:tc>
        <w:tc>
          <w:tcPr>
            <w:tcW w:type="dxa" w:w="936"/>
            <w:vAlign w:val="center"/>
          </w:tcPr>
          <w:p>
            <w:pPr>
              <w:spacing w:after="0" w:before="0"/>
            </w:pPr>
            <w:r>
              <w:rPr>
                <w:sz w:val="15"/>
              </w:rPr>
              <w:t>Production</w:t>
            </w:r>
          </w:p>
        </w:tc>
        <w:tc>
          <w:tcPr>
            <w:tcW w:type="dxa" w:w="1224"/>
            <w:vAlign w:val="center"/>
          </w:tcPr>
          <w:p>
            <w:pPr>
              <w:spacing w:after="0" w:before="0"/>
            </w:pPr>
            <w:r>
              <w:rPr>
                <w:sz w:val="15"/>
              </w:rPr>
              <w:t>Production support volume</w:t>
            </w:r>
          </w:p>
        </w:tc>
        <w:tc>
          <w:tcPr>
            <w:tcW w:type="dxa" w:w="2304"/>
            <w:vAlign w:val="center"/>
          </w:tcPr>
          <w:p>
            <w:pPr>
              <w:spacing w:after="0" w:before="0"/>
            </w:pPr>
            <w:r>
              <w:rPr>
                <w:sz w:val="15"/>
              </w:rPr>
              <w:t>7,200 square feet; scene shop, makeup/wardrobe area, and one dock-high loading door</w:t>
            </w:r>
          </w:p>
        </w:tc>
        <w:tc>
          <w:tcPr>
            <w:tcW w:type="dxa" w:w="893"/>
            <w:vAlign w:val="center"/>
          </w:tcPr>
          <w:p>
            <w:pPr>
              <w:spacing w:after="0" w:before="0"/>
            </w:pPr>
            <w:r>
              <w:rPr>
                <w:sz w:val="15"/>
              </w:rPr>
              <w:t>Approved</w:t>
            </w:r>
          </w:p>
        </w:tc>
        <w:tc>
          <w:tcPr>
            <w:tcW w:type="dxa" w:w="3024"/>
            <w:vAlign w:val="center"/>
          </w:tcPr>
          <w:p>
            <w:pPr>
              <w:spacing w:after="0" w:before="0"/>
            </w:pPr>
            <w:r>
              <w:rPr>
                <w:sz w:val="15"/>
              </w:rPr>
              <w:t>Existing configuration; no production capability certification.</w:t>
            </w:r>
          </w:p>
        </w:tc>
      </w:tr>
      <w:tr>
        <w:tc>
          <w:tcPr>
            <w:tcW w:type="dxa" w:w="792"/>
            <w:vAlign w:val="center"/>
            <w:shd w:fill="F3F6F8"/>
          </w:tcPr>
          <w:p>
            <w:pPr>
              <w:spacing w:after="0" w:before="0"/>
            </w:pPr>
            <w:r>
              <w:rPr>
                <w:sz w:val="15"/>
              </w:rPr>
              <w:t>P-POST</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Post-production</w:t>
            </w:r>
          </w:p>
        </w:tc>
        <w:tc>
          <w:tcPr>
            <w:tcW w:type="dxa" w:w="1224"/>
            <w:vAlign w:val="center"/>
            <w:shd w:fill="F3F6F8"/>
          </w:tcPr>
          <w:p>
            <w:pPr>
              <w:spacing w:after="0" w:before="0"/>
            </w:pPr>
            <w:r>
              <w:rPr>
                <w:sz w:val="15"/>
              </w:rPr>
              <w:t>Post-production component</w:t>
            </w:r>
          </w:p>
        </w:tc>
        <w:tc>
          <w:tcPr>
            <w:tcW w:type="dxa" w:w="2304"/>
            <w:vAlign w:val="center"/>
            <w:shd w:fill="F3F6F8"/>
          </w:tcPr>
          <w:p>
            <w:pPr>
              <w:spacing w:after="0" w:before="0"/>
            </w:pPr>
            <w:r>
              <w:rPr>
                <w:sz w:val="15"/>
              </w:rPr>
              <w:t>Existing editorial rooms, color and sound suites, and equipment rooms</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Describes present configuration only; no current systems certification.</w:t>
            </w:r>
          </w:p>
        </w:tc>
      </w:tr>
      <w:tr>
        <w:tc>
          <w:tcPr>
            <w:tcW w:type="dxa" w:w="792"/>
            <w:vAlign w:val="center"/>
          </w:tcPr>
          <w:p>
            <w:pPr>
              <w:spacing w:after="0" w:before="0"/>
            </w:pPr>
            <w:r>
              <w:rPr>
                <w:sz w:val="15"/>
              </w:rPr>
              <w:t>P-OFFICE</w:t>
            </w:r>
          </w:p>
        </w:tc>
        <w:tc>
          <w:tcPr>
            <w:tcW w:type="dxa" w:w="864"/>
            <w:vAlign w:val="center"/>
          </w:tcPr>
          <w:p>
            <w:pPr>
              <w:spacing w:after="0" w:before="0"/>
            </w:pPr>
            <w:r>
              <w:rPr>
                <w:sz w:val="15"/>
              </w:rPr>
              <w:t>2026-05-20</w:t>
            </w:r>
          </w:p>
        </w:tc>
        <w:tc>
          <w:tcPr>
            <w:tcW w:type="dxa" w:w="936"/>
            <w:vAlign w:val="center"/>
          </w:tcPr>
          <w:p>
            <w:pPr>
              <w:spacing w:after="0" w:before="0"/>
            </w:pPr>
            <w:r>
              <w:rPr>
                <w:sz w:val="15"/>
              </w:rPr>
              <w:t>Office</w:t>
            </w:r>
          </w:p>
        </w:tc>
        <w:tc>
          <w:tcPr>
            <w:tcW w:type="dxa" w:w="1224"/>
            <w:vAlign w:val="center"/>
          </w:tcPr>
          <w:p>
            <w:pPr>
              <w:spacing w:after="0" w:before="0"/>
            </w:pPr>
            <w:r>
              <w:rPr>
                <w:sz w:val="15"/>
              </w:rPr>
              <w:t>Office component</w:t>
            </w:r>
          </w:p>
        </w:tc>
        <w:tc>
          <w:tcPr>
            <w:tcW w:type="dxa" w:w="2304"/>
            <w:vAlign w:val="center"/>
          </w:tcPr>
          <w:p>
            <w:pPr>
              <w:spacing w:after="0" w:before="0"/>
            </w:pPr>
            <w:r>
              <w:rPr>
                <w:sz w:val="15"/>
              </w:rPr>
              <w:t>Existing production offices and conference rooms</w:t>
            </w:r>
          </w:p>
        </w:tc>
        <w:tc>
          <w:tcPr>
            <w:tcW w:type="dxa" w:w="893"/>
            <w:vAlign w:val="center"/>
          </w:tcPr>
          <w:p>
            <w:pPr>
              <w:spacing w:after="0" w:before="0"/>
            </w:pPr>
            <w:r>
              <w:rPr>
                <w:sz w:val="15"/>
              </w:rPr>
              <w:t>Approved</w:t>
            </w:r>
          </w:p>
        </w:tc>
        <w:tc>
          <w:tcPr>
            <w:tcW w:type="dxa" w:w="3024"/>
            <w:vAlign w:val="center"/>
          </w:tcPr>
          <w:p>
            <w:pPr>
              <w:spacing w:after="0" w:before="0"/>
            </w:pPr>
            <w:r>
              <w:rPr>
                <w:sz w:val="15"/>
              </w:rPr>
              <w:t>Office is part of the former facility configuration.</w:t>
            </w:r>
          </w:p>
        </w:tc>
      </w:tr>
      <w:tr>
        <w:tc>
          <w:tcPr>
            <w:tcW w:type="dxa" w:w="792"/>
            <w:vAlign w:val="center"/>
            <w:shd w:fill="F3F6F8"/>
          </w:tcPr>
          <w:p>
            <w:pPr>
              <w:spacing w:after="0" w:before="0"/>
            </w:pPr>
            <w:r>
              <w:rPr>
                <w:sz w:val="15"/>
              </w:rPr>
              <w:t>P-POWER</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Utilities</w:t>
            </w:r>
          </w:p>
        </w:tc>
        <w:tc>
          <w:tcPr>
            <w:tcW w:type="dxa" w:w="1224"/>
            <w:vAlign w:val="center"/>
            <w:shd w:fill="F3F6F8"/>
          </w:tcPr>
          <w:p>
            <w:pPr>
              <w:spacing w:after="0" w:before="0"/>
            </w:pPr>
            <w:r>
              <w:rPr>
                <w:sz w:val="15"/>
              </w:rPr>
              <w:t>Electrical service</w:t>
            </w:r>
          </w:p>
        </w:tc>
        <w:tc>
          <w:tcPr>
            <w:tcW w:type="dxa" w:w="2304"/>
            <w:vAlign w:val="center"/>
            <w:shd w:fill="F3F6F8"/>
          </w:tcPr>
          <w:p>
            <w:pPr>
              <w:spacing w:after="0" w:before="0"/>
            </w:pPr>
            <w:r>
              <w:rPr>
                <w:sz w:val="15"/>
              </w:rPr>
              <w:t>2,000-amp, 480/277-volt electrical service at the main switchgear</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Capacity, condition, and suitability for a future user have not been certified.</w:t>
            </w:r>
          </w:p>
        </w:tc>
      </w:tr>
      <w:tr>
        <w:tc>
          <w:tcPr>
            <w:tcW w:type="dxa" w:w="792"/>
            <w:vAlign w:val="center"/>
          </w:tcPr>
          <w:p>
            <w:pPr>
              <w:spacing w:after="0" w:before="0"/>
            </w:pPr>
            <w:r>
              <w:rPr>
                <w:sz w:val="15"/>
              </w:rPr>
              <w:t>P-PARK</w:t>
            </w:r>
          </w:p>
        </w:tc>
        <w:tc>
          <w:tcPr>
            <w:tcW w:type="dxa" w:w="864"/>
            <w:vAlign w:val="center"/>
          </w:tcPr>
          <w:p>
            <w:pPr>
              <w:spacing w:after="0" w:before="0"/>
            </w:pPr>
            <w:r>
              <w:rPr>
                <w:sz w:val="15"/>
              </w:rPr>
              <w:t>2026-08-29</w:t>
            </w:r>
          </w:p>
        </w:tc>
        <w:tc>
          <w:tcPr>
            <w:tcW w:type="dxa" w:w="936"/>
            <w:vAlign w:val="center"/>
          </w:tcPr>
          <w:p>
            <w:pPr>
              <w:spacing w:after="0" w:before="0"/>
            </w:pPr>
            <w:r>
              <w:rPr>
                <w:sz w:val="15"/>
              </w:rPr>
              <w:t>Site</w:t>
            </w:r>
          </w:p>
        </w:tc>
        <w:tc>
          <w:tcPr>
            <w:tcW w:type="dxa" w:w="1224"/>
            <w:vAlign w:val="center"/>
          </w:tcPr>
          <w:p>
            <w:pPr>
              <w:spacing w:after="0" w:before="0"/>
            </w:pPr>
            <w:r>
              <w:rPr>
                <w:sz w:val="15"/>
              </w:rPr>
              <w:t>Parking and circulation</w:t>
            </w:r>
          </w:p>
        </w:tc>
        <w:tc>
          <w:tcPr>
            <w:tcW w:type="dxa" w:w="2304"/>
            <w:vAlign w:val="center"/>
          </w:tcPr>
          <w:p>
            <w:pPr>
              <w:spacing w:after="0" w:before="0"/>
            </w:pPr>
            <w:r>
              <w:rPr>
                <w:sz w:val="15"/>
              </w:rPr>
              <w:t>182 existing striped parking spaces; two gated driveways; truck circulation along the west elevation</w:t>
            </w:r>
          </w:p>
        </w:tc>
        <w:tc>
          <w:tcPr>
            <w:tcW w:type="dxa" w:w="893"/>
            <w:vAlign w:val="center"/>
          </w:tcPr>
          <w:p>
            <w:pPr>
              <w:spacing w:after="0" w:before="0"/>
            </w:pPr>
            <w:r>
              <w:rPr>
                <w:sz w:val="15"/>
              </w:rPr>
              <w:t>Approved</w:t>
            </w:r>
          </w:p>
        </w:tc>
        <w:tc>
          <w:tcPr>
            <w:tcW w:type="dxa" w:w="3024"/>
            <w:vAlign w:val="center"/>
          </w:tcPr>
          <w:p>
            <w:pPr>
              <w:spacing w:after="0" w:before="0"/>
            </w:pPr>
            <w:r>
              <w:rPr>
                <w:sz w:val="15"/>
              </w:rPr>
              <w:t>Override: describe as existing striped spaces. No parking sufficiency or code-compliance conclusion.</w:t>
            </w:r>
          </w:p>
        </w:tc>
      </w:tr>
      <w:tr>
        <w:tc>
          <w:tcPr>
            <w:tcW w:type="dxa" w:w="792"/>
            <w:vAlign w:val="center"/>
            <w:shd w:fill="F3F6F8"/>
          </w:tcPr>
          <w:p>
            <w:pPr>
              <w:spacing w:after="0" w:before="0"/>
            </w:pPr>
            <w:r>
              <w:rPr>
                <w:sz w:val="15"/>
              </w:rPr>
              <w:t>P-PLAN</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Planning</w:t>
            </w:r>
          </w:p>
        </w:tc>
        <w:tc>
          <w:tcPr>
            <w:tcW w:type="dxa" w:w="1224"/>
            <w:vAlign w:val="center"/>
            <w:shd w:fill="F3F6F8"/>
          </w:tcPr>
          <w:p>
            <w:pPr>
              <w:spacing w:after="0" w:before="0"/>
            </w:pPr>
            <w:r>
              <w:rPr>
                <w:sz w:val="15"/>
              </w:rPr>
              <w:t>Planning designation</w:t>
            </w:r>
          </w:p>
        </w:tc>
        <w:tc>
          <w:tcPr>
            <w:tcW w:type="dxa" w:w="2304"/>
            <w:vAlign w:val="center"/>
            <w:shd w:fill="F3F6F8"/>
          </w:tcPr>
          <w:p>
            <w:pPr>
              <w:spacing w:after="0" w:before="0"/>
            </w:pPr>
            <w:r>
              <w:rPr>
                <w:sz w:val="15"/>
              </w:rPr>
              <w:t>MPS-1 Media Studio District</w:t>
            </w:r>
          </w:p>
        </w:tc>
        <w:tc>
          <w:tcPr>
            <w:tcW w:type="dxa" w:w="893"/>
            <w:vAlign w:val="center"/>
            <w:shd w:fill="F3F6F8"/>
          </w:tcPr>
          <w:p>
            <w:pPr>
              <w:spacing w:after="0" w:before="0"/>
            </w:pPr>
            <w:r>
              <w:rPr>
                <w:sz w:val="15"/>
              </w:rPr>
              <w:t>Superseded</w:t>
            </w:r>
          </w:p>
        </w:tc>
        <w:tc>
          <w:tcPr>
            <w:tcW w:type="dxa" w:w="3024"/>
            <w:vAlign w:val="center"/>
            <w:shd w:fill="F3F6F8"/>
          </w:tcPr>
          <w:p>
            <w:pPr>
              <w:spacing w:after="0" w:before="0"/>
            </w:pPr>
            <w:r>
              <w:rPr>
                <w:sz w:val="15"/>
              </w:rPr>
              <w:t>Earlier shorthand; replaced by authority excerpt and later row.</w:t>
            </w:r>
          </w:p>
        </w:tc>
      </w:tr>
      <w:tr>
        <w:tc>
          <w:tcPr>
            <w:tcW w:type="dxa" w:w="792"/>
            <w:vAlign w:val="center"/>
          </w:tcPr>
          <w:p>
            <w:pPr>
              <w:spacing w:after="0" w:before="0"/>
            </w:pPr>
            <w:r>
              <w:rPr>
                <w:sz w:val="15"/>
              </w:rPr>
              <w:t>P-PLAN</w:t>
            </w:r>
          </w:p>
        </w:tc>
        <w:tc>
          <w:tcPr>
            <w:tcW w:type="dxa" w:w="864"/>
            <w:vAlign w:val="center"/>
          </w:tcPr>
          <w:p>
            <w:pPr>
              <w:spacing w:after="0" w:before="0"/>
            </w:pPr>
            <w:r>
              <w:rPr>
                <w:sz w:val="15"/>
              </w:rPr>
              <w:t>2026-06-02</w:t>
            </w:r>
          </w:p>
        </w:tc>
        <w:tc>
          <w:tcPr>
            <w:tcW w:type="dxa" w:w="936"/>
            <w:vAlign w:val="center"/>
          </w:tcPr>
          <w:p>
            <w:pPr>
              <w:spacing w:after="0" w:before="0"/>
            </w:pPr>
            <w:r>
              <w:rPr>
                <w:sz w:val="15"/>
              </w:rPr>
              <w:t>Planning</w:t>
            </w:r>
          </w:p>
        </w:tc>
        <w:tc>
          <w:tcPr>
            <w:tcW w:type="dxa" w:w="1224"/>
            <w:vAlign w:val="center"/>
          </w:tcPr>
          <w:p>
            <w:pPr>
              <w:spacing w:after="0" w:before="0"/>
            </w:pPr>
            <w:r>
              <w:rPr>
                <w:sz w:val="15"/>
              </w:rPr>
              <w:t>Planning designation</w:t>
            </w:r>
          </w:p>
        </w:tc>
        <w:tc>
          <w:tcPr>
            <w:tcW w:type="dxa" w:w="2304"/>
            <w:vAlign w:val="center"/>
          </w:tcPr>
          <w:p>
            <w:pPr>
              <w:spacing w:after="0" w:before="0"/>
            </w:pPr>
            <w:r>
              <w:rPr>
                <w:sz w:val="15"/>
              </w:rPr>
              <w:t>MPS-2 — Media Production and Services District</w:t>
            </w:r>
          </w:p>
        </w:tc>
        <w:tc>
          <w:tcPr>
            <w:tcW w:type="dxa" w:w="893"/>
            <w:vAlign w:val="center"/>
          </w:tcPr>
          <w:p>
            <w:pPr>
              <w:spacing w:after="0" w:before="0"/>
            </w:pPr>
            <w:r>
              <w:rPr>
                <w:sz w:val="15"/>
              </w:rPr>
              <w:t>Approved</w:t>
            </w:r>
          </w:p>
        </w:tc>
        <w:tc>
          <w:tcPr>
            <w:tcW w:type="dxa" w:w="3024"/>
            <w:vAlign w:val="center"/>
          </w:tcPr>
          <w:p>
            <w:pPr>
              <w:spacing w:after="0" w:before="0"/>
            </w:pPr>
            <w:r>
              <w:rPr>
                <w:sz w:val="15"/>
              </w:rPr>
              <w:t>Use exact designation and planning excerpt.</w:t>
            </w:r>
          </w:p>
        </w:tc>
      </w:tr>
      <w:tr>
        <w:tc>
          <w:tcPr>
            <w:tcW w:type="dxa" w:w="792"/>
            <w:vAlign w:val="center"/>
            <w:shd w:fill="F3F6F8"/>
          </w:tcPr>
          <w:p>
            <w:pPr>
              <w:spacing w:after="0" w:before="0"/>
            </w:pPr>
            <w:r>
              <w:rPr>
                <w:sz w:val="15"/>
              </w:rPr>
              <w:t>T-STRUCT</w:t>
            </w:r>
          </w:p>
        </w:tc>
        <w:tc>
          <w:tcPr>
            <w:tcW w:type="dxa" w:w="864"/>
            <w:vAlign w:val="center"/>
            <w:shd w:fill="F3F6F8"/>
          </w:tcPr>
          <w:p>
            <w:pPr>
              <w:spacing w:after="0" w:before="0"/>
            </w:pPr>
            <w:r>
              <w:rPr>
                <w:sz w:val="15"/>
              </w:rPr>
              <w:t>2026-05-20</w:t>
            </w:r>
          </w:p>
        </w:tc>
        <w:tc>
          <w:tcPr>
            <w:tcW w:type="dxa" w:w="936"/>
            <w:vAlign w:val="center"/>
            <w:shd w:fill="F3F6F8"/>
          </w:tcPr>
          <w:p>
            <w:pPr>
              <w:spacing w:after="0" w:before="0"/>
            </w:pPr>
            <w:r>
              <w:rPr>
                <w:sz w:val="15"/>
              </w:rPr>
              <w:t>Transaction</w:t>
            </w:r>
          </w:p>
        </w:tc>
        <w:tc>
          <w:tcPr>
            <w:tcW w:type="dxa" w:w="1224"/>
            <w:vAlign w:val="center"/>
            <w:shd w:fill="F3F6F8"/>
          </w:tcPr>
          <w:p>
            <w:pPr>
              <w:spacing w:after="0" w:before="0"/>
            </w:pPr>
            <w:r>
              <w:rPr>
                <w:sz w:val="15"/>
              </w:rPr>
              <w:t>Sale and leaseback</w:t>
            </w:r>
          </w:p>
        </w:tc>
        <w:tc>
          <w:tcPr>
            <w:tcW w:type="dxa" w:w="2304"/>
            <w:vAlign w:val="center"/>
            <w:shd w:fill="F3F6F8"/>
          </w:tcPr>
          <w:p>
            <w:pPr>
              <w:spacing w:after="0" w:before="0"/>
            </w:pPr>
            <w:r>
              <w:rPr>
                <w:sz w:val="15"/>
              </w:rPr>
              <w:t>The property is offered for sale with a Wexmoor Media leaseback of Stage A, the principal sound stage area.</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Wexmoor Media is the current leaseback tenant for Stage A only.</w:t>
            </w:r>
          </w:p>
        </w:tc>
      </w:tr>
      <w:tr>
        <w:tc>
          <w:tcPr>
            <w:tcW w:type="dxa" w:w="792"/>
            <w:vAlign w:val="center"/>
          </w:tcPr>
          <w:p>
            <w:pPr>
              <w:spacing w:after="0" w:before="0"/>
            </w:pPr>
            <w:r>
              <w:rPr>
                <w:sz w:val="15"/>
              </w:rPr>
              <w:t>T-CLOSE</w:t>
            </w:r>
          </w:p>
        </w:tc>
        <w:tc>
          <w:tcPr>
            <w:tcW w:type="dxa" w:w="864"/>
            <w:vAlign w:val="center"/>
          </w:tcPr>
          <w:p>
            <w:pPr>
              <w:spacing w:after="0" w:before="0"/>
            </w:pPr>
            <w:r>
              <w:rPr>
                <w:sz w:val="15"/>
              </w:rPr>
              <w:t>2026-08-29</w:t>
            </w:r>
          </w:p>
        </w:tc>
        <w:tc>
          <w:tcPr>
            <w:tcW w:type="dxa" w:w="936"/>
            <w:vAlign w:val="center"/>
          </w:tcPr>
          <w:p>
            <w:pPr>
              <w:spacing w:after="0" w:before="0"/>
            </w:pPr>
            <w:r>
              <w:rPr>
                <w:sz w:val="15"/>
              </w:rPr>
              <w:t>Transaction</w:t>
            </w:r>
          </w:p>
        </w:tc>
        <w:tc>
          <w:tcPr>
            <w:tcW w:type="dxa" w:w="1224"/>
            <w:vAlign w:val="center"/>
          </w:tcPr>
          <w:p>
            <w:pPr>
              <w:spacing w:after="0" w:before="0"/>
            </w:pPr>
            <w:r>
              <w:rPr>
                <w:sz w:val="15"/>
              </w:rPr>
              <w:t>Assumed closing date</w:t>
            </w:r>
          </w:p>
        </w:tc>
        <w:tc>
          <w:tcPr>
            <w:tcW w:type="dxa" w:w="2304"/>
            <w:vAlign w:val="center"/>
          </w:tcPr>
          <w:p>
            <w:pPr>
              <w:spacing w:after="0" w:before="0"/>
            </w:pPr>
            <w:r>
              <w:rPr>
                <w:sz w:val="15"/>
              </w:rPr>
              <w:t>2026-10-15</w:t>
            </w:r>
          </w:p>
        </w:tc>
        <w:tc>
          <w:tcPr>
            <w:tcW w:type="dxa" w:w="893"/>
            <w:vAlign w:val="center"/>
          </w:tcPr>
          <w:p>
            <w:pPr>
              <w:spacing w:after="0" w:before="0"/>
            </w:pPr>
            <w:r>
              <w:rPr>
                <w:sz w:val="15"/>
              </w:rPr>
              <w:t>Approved</w:t>
            </w:r>
          </w:p>
        </w:tc>
        <w:tc>
          <w:tcPr>
            <w:tcW w:type="dxa" w:w="3024"/>
            <w:vAlign w:val="center"/>
          </w:tcPr>
          <w:p>
            <w:pPr>
              <w:spacing w:after="0" w:before="0"/>
            </w:pPr>
            <w:r>
              <w:rPr>
                <w:sz w:val="15"/>
              </w:rPr>
              <w:t>Scenario assumption only; not a completed or guaranteed closing.</w:t>
            </w:r>
          </w:p>
        </w:tc>
      </w:tr>
      <w:tr>
        <w:tc>
          <w:tcPr>
            <w:tcW w:type="dxa" w:w="792"/>
            <w:vAlign w:val="center"/>
            <w:shd w:fill="F3F6F8"/>
          </w:tcPr>
          <w:p>
            <w:pPr>
              <w:spacing w:after="0" w:before="0"/>
            </w:pPr>
            <w:r>
              <w:rPr>
                <w:sz w:val="15"/>
              </w:rPr>
              <w:t>T-EXP</w:t>
            </w:r>
          </w:p>
        </w:tc>
        <w:tc>
          <w:tcPr>
            <w:tcW w:type="dxa" w:w="864"/>
            <w:vAlign w:val="center"/>
            <w:shd w:fill="F3F6F8"/>
          </w:tcPr>
          <w:p>
            <w:pPr>
              <w:spacing w:after="0" w:before="0"/>
            </w:pPr>
            <w:r>
              <w:rPr>
                <w:sz w:val="15"/>
              </w:rPr>
              <w:t>2026-08-29</w:t>
            </w:r>
          </w:p>
        </w:tc>
        <w:tc>
          <w:tcPr>
            <w:tcW w:type="dxa" w:w="936"/>
            <w:vAlign w:val="center"/>
            <w:shd w:fill="F3F6F8"/>
          </w:tcPr>
          <w:p>
            <w:pPr>
              <w:spacing w:after="0" w:before="0"/>
            </w:pPr>
            <w:r>
              <w:rPr>
                <w:sz w:val="15"/>
              </w:rPr>
              <w:t>Lease</w:t>
            </w:r>
          </w:p>
        </w:tc>
        <w:tc>
          <w:tcPr>
            <w:tcW w:type="dxa" w:w="1224"/>
            <w:vAlign w:val="center"/>
            <w:shd w:fill="F3F6F8"/>
          </w:tcPr>
          <w:p>
            <w:pPr>
              <w:spacing w:after="0" w:before="0"/>
            </w:pPr>
            <w:r>
              <w:rPr>
                <w:sz w:val="15"/>
              </w:rPr>
              <w:t>Lease expiration</w:t>
            </w:r>
          </w:p>
        </w:tc>
        <w:tc>
          <w:tcPr>
            <w:tcW w:type="dxa" w:w="2304"/>
            <w:vAlign w:val="center"/>
            <w:shd w:fill="F3F6F8"/>
          </w:tcPr>
          <w:p>
            <w:pPr>
              <w:spacing w:after="0" w:before="0"/>
            </w:pPr>
            <w:r>
              <w:rPr>
                <w:sz w:val="15"/>
              </w:rPr>
              <w:t>2027-06-15</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Contractual expiration date.</w:t>
            </w:r>
          </w:p>
        </w:tc>
      </w:tr>
      <w:tr>
        <w:tc>
          <w:tcPr>
            <w:tcW w:type="dxa" w:w="792"/>
            <w:vAlign w:val="center"/>
          </w:tcPr>
          <w:p>
            <w:pPr>
              <w:spacing w:after="0" w:before="0"/>
            </w:pPr>
            <w:r>
              <w:rPr>
                <w:sz w:val="15"/>
              </w:rPr>
              <w:t>T-OPT</w:t>
            </w:r>
          </w:p>
        </w:tc>
        <w:tc>
          <w:tcPr>
            <w:tcW w:type="dxa" w:w="864"/>
            <w:vAlign w:val="center"/>
          </w:tcPr>
          <w:p>
            <w:pPr>
              <w:spacing w:after="0" w:before="0"/>
            </w:pPr>
            <w:r>
              <w:rPr>
                <w:sz w:val="15"/>
              </w:rPr>
              <w:t>2026-08-29</w:t>
            </w:r>
          </w:p>
        </w:tc>
        <w:tc>
          <w:tcPr>
            <w:tcW w:type="dxa" w:w="936"/>
            <w:vAlign w:val="center"/>
          </w:tcPr>
          <w:p>
            <w:pPr>
              <w:spacing w:after="0" w:before="0"/>
            </w:pPr>
            <w:r>
              <w:rPr>
                <w:sz w:val="15"/>
              </w:rPr>
              <w:t>Lease</w:t>
            </w:r>
          </w:p>
        </w:tc>
        <w:tc>
          <w:tcPr>
            <w:tcW w:type="dxa" w:w="1224"/>
            <w:vAlign w:val="center"/>
          </w:tcPr>
          <w:p>
            <w:pPr>
              <w:spacing w:after="0" w:before="0"/>
            </w:pPr>
            <w:r>
              <w:rPr>
                <w:sz w:val="15"/>
              </w:rPr>
              <w:t>Renewal options</w:t>
            </w:r>
          </w:p>
        </w:tc>
        <w:tc>
          <w:tcPr>
            <w:tcW w:type="dxa" w:w="2304"/>
            <w:vAlign w:val="center"/>
          </w:tcPr>
          <w:p>
            <w:pPr>
              <w:spacing w:after="0" w:before="0"/>
            </w:pPr>
            <w:r>
              <w:rPr>
                <w:sz w:val="15"/>
              </w:rPr>
              <w:t>No renewal options</w:t>
            </w:r>
          </w:p>
        </w:tc>
        <w:tc>
          <w:tcPr>
            <w:tcW w:type="dxa" w:w="893"/>
            <w:vAlign w:val="center"/>
          </w:tcPr>
          <w:p>
            <w:pPr>
              <w:spacing w:after="0" w:before="0"/>
            </w:pPr>
            <w:r>
              <w:rPr>
                <w:sz w:val="15"/>
              </w:rPr>
              <w:t>Approved</w:t>
            </w:r>
          </w:p>
        </w:tc>
        <w:tc>
          <w:tcPr>
            <w:tcW w:type="dxa" w:w="3024"/>
            <w:vAlign w:val="center"/>
          </w:tcPr>
          <w:p>
            <w:pPr>
              <w:spacing w:after="0" w:before="0"/>
            </w:pPr>
            <w:r>
              <w:rPr>
                <w:sz w:val="15"/>
              </w:rPr>
            </w:r>
          </w:p>
        </w:tc>
      </w:tr>
      <w:tr>
        <w:tc>
          <w:tcPr>
            <w:tcW w:type="dxa" w:w="792"/>
            <w:vAlign w:val="center"/>
            <w:shd w:fill="F3F6F8"/>
          </w:tcPr>
          <w:p>
            <w:pPr>
              <w:spacing w:after="0" w:before="0"/>
            </w:pPr>
            <w:r>
              <w:rPr>
                <w:sz w:val="15"/>
              </w:rPr>
              <w:t>T-TENANT</w:t>
            </w:r>
          </w:p>
        </w:tc>
        <w:tc>
          <w:tcPr>
            <w:tcW w:type="dxa" w:w="864"/>
            <w:vAlign w:val="center"/>
            <w:shd w:fill="F3F6F8"/>
          </w:tcPr>
          <w:p>
            <w:pPr>
              <w:spacing w:after="0" w:before="0"/>
            </w:pPr>
            <w:r>
              <w:rPr>
                <w:sz w:val="15"/>
              </w:rPr>
              <w:t>2026-08-29</w:t>
            </w:r>
          </w:p>
        </w:tc>
        <w:tc>
          <w:tcPr>
            <w:tcW w:type="dxa" w:w="936"/>
            <w:vAlign w:val="center"/>
            <w:shd w:fill="F3F6F8"/>
          </w:tcPr>
          <w:p>
            <w:pPr>
              <w:spacing w:after="0" w:before="0"/>
            </w:pPr>
            <w:r>
              <w:rPr>
                <w:sz w:val="15"/>
              </w:rPr>
              <w:t>Lease</w:t>
            </w:r>
          </w:p>
        </w:tc>
        <w:tc>
          <w:tcPr>
            <w:tcW w:type="dxa" w:w="1224"/>
            <w:vAlign w:val="center"/>
            <w:shd w:fill="F3F6F8"/>
          </w:tcPr>
          <w:p>
            <w:pPr>
              <w:spacing w:after="0" w:before="0"/>
            </w:pPr>
            <w:r>
              <w:rPr>
                <w:sz w:val="15"/>
              </w:rPr>
              <w:t>Tenant discussions</w:t>
            </w:r>
          </w:p>
        </w:tc>
        <w:tc>
          <w:tcPr>
            <w:tcW w:type="dxa" w:w="2304"/>
            <w:vAlign w:val="center"/>
            <w:shd w:fill="F3F6F8"/>
          </w:tcPr>
          <w:p>
            <w:pPr>
              <w:spacing w:after="0" w:before="0"/>
            </w:pPr>
            <w:r>
              <w:rPr>
                <w:sz w:val="15"/>
              </w:rPr>
              <w:t>No written renewal, extension, expansion, departure, or other operational commitment has been provided by Wexmoor Media.</w:t>
            </w:r>
          </w:p>
        </w:tc>
        <w:tc>
          <w:tcPr>
            <w:tcW w:type="dxa" w:w="893"/>
            <w:vAlign w:val="center"/>
            <w:shd w:fill="F3F6F8"/>
          </w:tcPr>
          <w:p>
            <w:pPr>
              <w:spacing w:after="0" w:before="0"/>
            </w:pPr>
            <w:r>
              <w:rPr>
                <w:sz w:val="15"/>
              </w:rPr>
              <w:t>Approved</w:t>
            </w:r>
          </w:p>
        </w:tc>
        <w:tc>
          <w:tcPr>
            <w:tcW w:type="dxa" w:w="3024"/>
            <w:vAlign w:val="center"/>
            <w:shd w:fill="F3F6F8"/>
          </w:tcPr>
          <w:p>
            <w:pPr>
              <w:spacing w:after="0" w:before="0"/>
            </w:pPr>
            <w:r>
              <w:rPr>
                <w:sz w:val="15"/>
              </w:rPr>
              <w:t>Do not infer intention from silence or earlier discussions.</w:t>
            </w:r>
          </w:p>
        </w:tc>
      </w:tr>
    </w:tbl>
    <w:p>
      <w:pPr>
        <w:spacing w:after="20"/>
      </w:pPr>
    </w:p>
    <w:p>
      <w:pPr>
        <w:pStyle w:val="Heading1"/>
        <w:spacing w:before="220" w:after="80"/>
      </w:pPr>
      <w:r>
        <w:t>Comparable-Property Schedule</w:t>
      </w:r>
    </w:p>
    <w:p>
      <w:pPr>
        <w:spacing w:after="100"/>
      </w:pPr>
      <w:r>
        <w:t>Comp Key is the reconciliation key. Source basis is the permitted narrative attribution basis. The schedule records historical activity; it does not state a value or leasing conclusion for the subject.</w:t>
      </w:r>
    </w:p>
    <w:tbl>
      <w:tblPr>
        <w:tblStyle w:val="TableGrid"/>
        <w:tblW w:type="auto" w:w="0"/>
        <w:jc w:val="center"/>
        <w:tblLook w:firstColumn="1" w:firstRow="1" w:lastColumn="0" w:lastRow="0" w:noHBand="0" w:noVBand="1" w:val="04A0"/>
        <w:tblBorders>
          <w:top w:val="single" w:sz="4" w:color="D8DDE3"/>
          <w:left w:val="single" w:sz="4" w:color="D8DDE3"/>
          <w:bottom w:val="single" w:sz="4" w:color="D8DDE3"/>
          <w:right w:val="single" w:sz="4" w:color="D8DDE3"/>
          <w:insideH w:val="single" w:sz="4" w:color="D8DDE3"/>
          <w:insideV w:val="single" w:sz="4" w:color="D8DDE3"/>
        </w:tblBorders>
      </w:tblPr>
      <w:tblGrid>
        <w:gridCol w:w="1017"/>
        <w:gridCol w:w="1017"/>
        <w:gridCol w:w="1017"/>
        <w:gridCol w:w="1017"/>
        <w:gridCol w:w="1017"/>
        <w:gridCol w:w="1017"/>
        <w:gridCol w:w="1017"/>
        <w:gridCol w:w="1017"/>
        <w:gridCol w:w="1017"/>
        <w:gridCol w:w="1017"/>
      </w:tblGrid>
      <w:tr>
        <w:tc>
          <w:tcPr>
            <w:tcW w:type="dxa" w:w="648"/>
            <w:shd w:fill="17324D"/>
            <w:vAlign w:val="center"/>
          </w:tcPr>
          <w:p>
            <w:r>
              <w:rPr>
                <w:b/>
                <w:color w:val="FFFFFF"/>
                <w:sz w:val="16"/>
              </w:rPr>
              <w:t>Comp Key</w:t>
            </w:r>
          </w:p>
        </w:tc>
        <w:tc>
          <w:tcPr>
            <w:tcW w:type="dxa" w:w="806"/>
            <w:shd w:fill="17324D"/>
            <w:vAlign w:val="center"/>
          </w:tcPr>
          <w:p>
            <w:r>
              <w:rPr>
                <w:b/>
                <w:color w:val="FFFFFF"/>
                <w:sz w:val="16"/>
              </w:rPr>
              <w:t>Record date</w:t>
            </w:r>
          </w:p>
        </w:tc>
        <w:tc>
          <w:tcPr>
            <w:tcW w:type="dxa" w:w="1224"/>
            <w:shd w:fill="17324D"/>
            <w:vAlign w:val="center"/>
          </w:tcPr>
          <w:p>
            <w:r>
              <w:rPr>
                <w:b/>
                <w:color w:val="FFFFFF"/>
                <w:sz w:val="16"/>
              </w:rPr>
              <w:t>Property</w:t>
            </w:r>
          </w:p>
        </w:tc>
        <w:tc>
          <w:tcPr>
            <w:tcW w:type="dxa" w:w="1584"/>
            <w:shd w:fill="17324D"/>
            <w:vAlign w:val="center"/>
          </w:tcPr>
          <w:p>
            <w:r>
              <w:rPr>
                <w:b/>
                <w:color w:val="FFFFFF"/>
                <w:sz w:val="16"/>
              </w:rPr>
              <w:t>Location</w:t>
            </w:r>
          </w:p>
        </w:tc>
        <w:tc>
          <w:tcPr>
            <w:tcW w:type="dxa" w:w="806"/>
            <w:shd w:fill="17324D"/>
            <w:vAlign w:val="center"/>
          </w:tcPr>
          <w:p>
            <w:r>
              <w:rPr>
                <w:b/>
                <w:color w:val="FFFFFF"/>
                <w:sz w:val="16"/>
              </w:rPr>
              <w:t>Type</w:t>
            </w:r>
          </w:p>
        </w:tc>
        <w:tc>
          <w:tcPr>
            <w:tcW w:type="dxa" w:w="792"/>
            <w:shd w:fill="17324D"/>
            <w:vAlign w:val="center"/>
          </w:tcPr>
          <w:p>
            <w:r>
              <w:rPr>
                <w:b/>
                <w:color w:val="FFFFFF"/>
                <w:sz w:val="16"/>
              </w:rPr>
              <w:t>Status</w:t>
            </w:r>
          </w:p>
        </w:tc>
        <w:tc>
          <w:tcPr>
            <w:tcW w:type="dxa" w:w="979"/>
            <w:shd w:fill="17324D"/>
            <w:vAlign w:val="center"/>
          </w:tcPr>
          <w:p>
            <w:r>
              <w:rPr>
                <w:b/>
                <w:color w:val="FFFFFF"/>
                <w:sz w:val="16"/>
              </w:rPr>
              <w:t>Activity date</w:t>
            </w:r>
          </w:p>
        </w:tc>
        <w:tc>
          <w:tcPr>
            <w:tcW w:type="dxa" w:w="1512"/>
            <w:shd w:fill="17324D"/>
            <w:vAlign w:val="center"/>
          </w:tcPr>
          <w:p>
            <w:r>
              <w:rPr>
                <w:b/>
                <w:color w:val="FFFFFF"/>
                <w:sz w:val="16"/>
              </w:rPr>
              <w:t>Metrics</w:t>
            </w:r>
          </w:p>
        </w:tc>
        <w:tc>
          <w:tcPr>
            <w:tcW w:type="dxa" w:w="1296"/>
            <w:shd w:fill="17324D"/>
            <w:vAlign w:val="center"/>
          </w:tcPr>
          <w:p>
            <w:r>
              <w:rPr>
                <w:b/>
                <w:color w:val="FFFFFF"/>
                <w:sz w:val="16"/>
              </w:rPr>
              <w:t>Source basis</w:t>
            </w:r>
          </w:p>
        </w:tc>
        <w:tc>
          <w:tcPr>
            <w:tcW w:type="dxa" w:w="1728"/>
            <w:shd w:fill="17324D"/>
            <w:vAlign w:val="center"/>
          </w:tcPr>
          <w:p>
            <w:r>
              <w:rPr>
                <w:b/>
                <w:color w:val="FFFFFF"/>
                <w:sz w:val="16"/>
              </w:rPr>
              <w:t>Notes</w:t>
            </w:r>
          </w:p>
        </w:tc>
      </w:tr>
      <w:tr>
        <w:tc>
          <w:tcPr>
            <w:tcW w:type="dxa" w:w="648"/>
            <w:vAlign w:val="center"/>
          </w:tcPr>
          <w:p>
            <w:pPr>
              <w:spacing w:after="0" w:before="0"/>
            </w:pPr>
            <w:r>
              <w:rPr>
                <w:sz w:val="15"/>
              </w:rPr>
              <w:t>C-101</w:t>
            </w:r>
          </w:p>
        </w:tc>
        <w:tc>
          <w:tcPr>
            <w:tcW w:type="dxa" w:w="806"/>
            <w:vAlign w:val="center"/>
          </w:tcPr>
          <w:p>
            <w:pPr>
              <w:spacing w:after="0" w:before="0"/>
            </w:pPr>
            <w:r>
              <w:rPr>
                <w:sz w:val="15"/>
              </w:rPr>
              <w:t>2025-04-08</w:t>
            </w:r>
          </w:p>
        </w:tc>
        <w:tc>
          <w:tcPr>
            <w:tcW w:type="dxa" w:w="1224"/>
            <w:vAlign w:val="center"/>
          </w:tcPr>
          <w:p>
            <w:pPr>
              <w:spacing w:after="0" w:before="0"/>
            </w:pPr>
            <w:r>
              <w:rPr>
                <w:sz w:val="15"/>
              </w:rPr>
              <w:t>Meridian Works</w:t>
            </w:r>
          </w:p>
        </w:tc>
        <w:tc>
          <w:tcPr>
            <w:tcW w:type="dxa" w:w="1584"/>
            <w:vAlign w:val="center"/>
          </w:tcPr>
          <w:p>
            <w:pPr>
              <w:spacing w:after="0" w:before="0"/>
            </w:pPr>
            <w:r>
              <w:rPr>
                <w:sz w:val="15"/>
              </w:rPr>
              <w:t>4200 Meridian Avenue, Easton</w:t>
            </w:r>
          </w:p>
        </w:tc>
        <w:tc>
          <w:tcPr>
            <w:tcW w:type="dxa" w:w="806"/>
            <w:vAlign w:val="center"/>
          </w:tcPr>
          <w:p>
            <w:pPr>
              <w:spacing w:after="0" w:before="0"/>
            </w:pPr>
            <w:r>
              <w:rPr>
                <w:sz w:val="15"/>
              </w:rPr>
              <w:t>Sale</w:t>
            </w:r>
          </w:p>
        </w:tc>
        <w:tc>
          <w:tcPr>
            <w:tcW w:type="dxa" w:w="792"/>
            <w:vAlign w:val="center"/>
          </w:tcPr>
          <w:p>
            <w:pPr>
              <w:spacing w:after="0" w:before="0"/>
            </w:pPr>
            <w:r>
              <w:rPr>
                <w:sz w:val="15"/>
              </w:rPr>
              <w:t>Under contract</w:t>
            </w:r>
          </w:p>
        </w:tc>
        <w:tc>
          <w:tcPr>
            <w:tcW w:type="dxa" w:w="979"/>
            <w:vAlign w:val="center"/>
          </w:tcPr>
          <w:p>
            <w:pPr>
              <w:spacing w:after="0" w:before="0"/>
            </w:pPr>
            <w:r>
              <w:rPr>
                <w:sz w:val="15"/>
              </w:rPr>
              <w:t>04/08/2025</w:t>
            </w:r>
          </w:p>
        </w:tc>
        <w:tc>
          <w:tcPr>
            <w:tcW w:type="dxa" w:w="1512"/>
            <w:vAlign w:val="center"/>
          </w:tcPr>
          <w:p>
            <w:pPr>
              <w:spacing w:after="0" w:before="0"/>
            </w:pPr>
            <w:r>
              <w:rPr>
                <w:sz w:val="15"/>
              </w:rPr>
              <w:t>71,600 sf; reported $20,900,000 transfer price</w:t>
            </w:r>
          </w:p>
        </w:tc>
        <w:tc>
          <w:tcPr>
            <w:tcW w:type="dxa" w:w="1296"/>
            <w:vAlign w:val="center"/>
          </w:tcPr>
          <w:p>
            <w:pPr>
              <w:spacing w:after="0" w:before="0"/>
            </w:pPr>
            <w:r>
              <w:rPr>
                <w:sz w:val="15"/>
              </w:rPr>
              <w:t>County recorder transfer index</w:t>
            </w:r>
          </w:p>
        </w:tc>
        <w:tc>
          <w:tcPr>
            <w:tcW w:type="dxa" w:w="1728"/>
            <w:vAlign w:val="center"/>
          </w:tcPr>
          <w:p>
            <w:pPr>
              <w:spacing w:after="0" w:before="0"/>
            </w:pPr>
            <w:r>
              <w:rPr>
                <w:sz w:val="15"/>
              </w:rPr>
              <w:t>Superseded by later record.</w:t>
            </w:r>
          </w:p>
        </w:tc>
      </w:tr>
      <w:tr>
        <w:tc>
          <w:tcPr>
            <w:tcW w:type="dxa" w:w="648"/>
            <w:vAlign w:val="center"/>
            <w:shd w:fill="F3F6F8"/>
          </w:tcPr>
          <w:p>
            <w:pPr>
              <w:spacing w:after="0" w:before="0"/>
            </w:pPr>
            <w:r>
              <w:rPr>
                <w:sz w:val="15"/>
              </w:rPr>
              <w:t>C-101</w:t>
            </w:r>
          </w:p>
        </w:tc>
        <w:tc>
          <w:tcPr>
            <w:tcW w:type="dxa" w:w="806"/>
            <w:vAlign w:val="center"/>
            <w:shd w:fill="F3F6F8"/>
          </w:tcPr>
          <w:p>
            <w:pPr>
              <w:spacing w:after="0" w:before="0"/>
            </w:pPr>
            <w:r>
              <w:rPr>
                <w:sz w:val="15"/>
              </w:rPr>
              <w:t>2025-05-02</w:t>
            </w:r>
          </w:p>
        </w:tc>
        <w:tc>
          <w:tcPr>
            <w:tcW w:type="dxa" w:w="1224"/>
            <w:vAlign w:val="center"/>
            <w:shd w:fill="F3F6F8"/>
          </w:tcPr>
          <w:p>
            <w:pPr>
              <w:spacing w:after="0" w:before="0"/>
            </w:pPr>
            <w:r>
              <w:rPr>
                <w:sz w:val="15"/>
              </w:rPr>
              <w:t>Meridian Works</w:t>
            </w:r>
          </w:p>
        </w:tc>
        <w:tc>
          <w:tcPr>
            <w:tcW w:type="dxa" w:w="1584"/>
            <w:vAlign w:val="center"/>
            <w:shd w:fill="F3F6F8"/>
          </w:tcPr>
          <w:p>
            <w:pPr>
              <w:spacing w:after="0" w:before="0"/>
            </w:pPr>
            <w:r>
              <w:rPr>
                <w:sz w:val="15"/>
              </w:rPr>
              <w:t>4200 Meridian Avenue, Easton</w:t>
            </w:r>
          </w:p>
        </w:tc>
        <w:tc>
          <w:tcPr>
            <w:tcW w:type="dxa" w:w="806"/>
            <w:vAlign w:val="center"/>
            <w:shd w:fill="F3F6F8"/>
          </w:tcPr>
          <w:p>
            <w:pPr>
              <w:spacing w:after="0" w:before="0"/>
            </w:pPr>
            <w:r>
              <w:rPr>
                <w:sz w:val="15"/>
              </w:rPr>
              <w:t>Sale</w:t>
            </w:r>
          </w:p>
        </w:tc>
        <w:tc>
          <w:tcPr>
            <w:tcW w:type="dxa" w:w="792"/>
            <w:vAlign w:val="center"/>
            <w:shd w:fill="F3F6F8"/>
          </w:tcPr>
          <w:p>
            <w:pPr>
              <w:spacing w:after="0" w:before="0"/>
            </w:pPr>
            <w:r>
              <w:rPr>
                <w:sz w:val="15"/>
              </w:rPr>
              <w:t>Closed</w:t>
            </w:r>
          </w:p>
        </w:tc>
        <w:tc>
          <w:tcPr>
            <w:tcW w:type="dxa" w:w="979"/>
            <w:vAlign w:val="center"/>
            <w:shd w:fill="F3F6F8"/>
          </w:tcPr>
          <w:p>
            <w:pPr>
              <w:spacing w:after="0" w:before="0"/>
            </w:pPr>
            <w:r>
              <w:rPr>
                <w:sz w:val="15"/>
              </w:rPr>
              <w:t>2025-04-08</w:t>
            </w:r>
          </w:p>
        </w:tc>
        <w:tc>
          <w:tcPr>
            <w:tcW w:type="dxa" w:w="1512"/>
            <w:vAlign w:val="center"/>
            <w:shd w:fill="F3F6F8"/>
          </w:tcPr>
          <w:p>
            <w:pPr>
              <w:spacing w:after="0" w:before="0"/>
            </w:pPr>
            <w:r>
              <w:rPr>
                <w:sz w:val="15"/>
              </w:rPr>
              <w:t>71,600 sf; reported $20,900,000 transfer price</w:t>
            </w:r>
          </w:p>
        </w:tc>
        <w:tc>
          <w:tcPr>
            <w:tcW w:type="dxa" w:w="1296"/>
            <w:vAlign w:val="center"/>
            <w:shd w:fill="F3F6F8"/>
          </w:tcPr>
          <w:p>
            <w:pPr>
              <w:spacing w:after="0" w:before="0"/>
            </w:pPr>
            <w:r>
              <w:rPr>
                <w:sz w:val="15"/>
              </w:rPr>
              <w:t>County recorder transfer index</w:t>
            </w:r>
          </w:p>
        </w:tc>
        <w:tc>
          <w:tcPr>
            <w:tcW w:type="dxa" w:w="1728"/>
            <w:vAlign w:val="center"/>
            <w:shd w:fill="F3F6F8"/>
          </w:tcPr>
          <w:p>
            <w:pPr>
              <w:spacing w:after="0" w:before="0"/>
            </w:pPr>
            <w:r>
              <w:rPr>
                <w:sz w:val="15"/>
              </w:rPr>
              <w:t>Latest record controls.</w:t>
            </w:r>
          </w:p>
        </w:tc>
      </w:tr>
      <w:tr>
        <w:tc>
          <w:tcPr>
            <w:tcW w:type="dxa" w:w="648"/>
            <w:vAlign w:val="center"/>
          </w:tcPr>
          <w:p>
            <w:pPr>
              <w:spacing w:after="0" w:before="0"/>
            </w:pPr>
            <w:r>
              <w:rPr>
                <w:sz w:val="15"/>
              </w:rPr>
              <w:t>C-102</w:t>
            </w:r>
          </w:p>
        </w:tc>
        <w:tc>
          <w:tcPr>
            <w:tcW w:type="dxa" w:w="806"/>
            <w:vAlign w:val="center"/>
          </w:tcPr>
          <w:p>
            <w:pPr>
              <w:spacing w:after="0" w:before="0"/>
            </w:pPr>
            <w:r>
              <w:rPr>
                <w:sz w:val="15"/>
              </w:rPr>
              <w:t>2025-11-18</w:t>
            </w:r>
          </w:p>
        </w:tc>
        <w:tc>
          <w:tcPr>
            <w:tcW w:type="dxa" w:w="1224"/>
            <w:vAlign w:val="center"/>
          </w:tcPr>
          <w:p>
            <w:pPr>
              <w:spacing w:after="0" w:before="0"/>
            </w:pPr>
            <w:r>
              <w:rPr>
                <w:sz w:val="15"/>
              </w:rPr>
              <w:t>Vista Harbor Studios</w:t>
            </w:r>
          </w:p>
        </w:tc>
        <w:tc>
          <w:tcPr>
            <w:tcW w:type="dxa" w:w="1584"/>
            <w:vAlign w:val="center"/>
          </w:tcPr>
          <w:p>
            <w:pPr>
              <w:spacing w:after="0" w:before="0"/>
            </w:pPr>
            <w:r>
              <w:rPr>
                <w:sz w:val="15"/>
              </w:rPr>
              <w:t>908 Harbor View Boulevard, Larkspur</w:t>
            </w:r>
          </w:p>
        </w:tc>
        <w:tc>
          <w:tcPr>
            <w:tcW w:type="dxa" w:w="806"/>
            <w:vAlign w:val="center"/>
          </w:tcPr>
          <w:p>
            <w:pPr>
              <w:spacing w:after="0" w:before="0"/>
            </w:pPr>
            <w:r>
              <w:rPr>
                <w:sz w:val="15"/>
              </w:rPr>
              <w:t>Lease</w:t>
            </w:r>
          </w:p>
        </w:tc>
        <w:tc>
          <w:tcPr>
            <w:tcW w:type="dxa" w:w="792"/>
            <w:vAlign w:val="center"/>
          </w:tcPr>
          <w:p>
            <w:pPr>
              <w:spacing w:after="0" w:before="0"/>
            </w:pPr>
            <w:r>
              <w:rPr>
                <w:sz w:val="15"/>
              </w:rPr>
              <w:t>Executed</w:t>
            </w:r>
          </w:p>
        </w:tc>
        <w:tc>
          <w:tcPr>
            <w:tcW w:type="dxa" w:w="979"/>
            <w:vAlign w:val="center"/>
          </w:tcPr>
          <w:p>
            <w:pPr>
              <w:spacing w:after="0" w:before="0"/>
            </w:pPr>
            <w:r>
              <w:rPr>
                <w:sz w:val="15"/>
              </w:rPr>
              <w:t>11/12/2025</w:t>
            </w:r>
          </w:p>
        </w:tc>
        <w:tc>
          <w:tcPr>
            <w:tcW w:type="dxa" w:w="1512"/>
            <w:vAlign w:val="center"/>
          </w:tcPr>
          <w:p>
            <w:pPr>
              <w:spacing w:after="0" w:before="0"/>
            </w:pPr>
            <w:r>
              <w:rPr>
                <w:sz w:val="15"/>
              </w:rPr>
              <w:t>62,400 sf facility; 33,000 sf leased</w:t>
            </w:r>
          </w:p>
        </w:tc>
        <w:tc>
          <w:tcPr>
            <w:tcW w:type="dxa" w:w="1296"/>
            <w:vAlign w:val="center"/>
          </w:tcPr>
          <w:p>
            <w:pPr>
              <w:spacing w:after="0" w:before="0"/>
            </w:pPr>
            <w:r>
              <w:rPr>
                <w:sz w:val="15"/>
              </w:rPr>
              <w:t>Broker-confirmed executed lease information</w:t>
            </w:r>
          </w:p>
        </w:tc>
        <w:tc>
          <w:tcPr>
            <w:tcW w:type="dxa" w:w="1728"/>
            <w:vAlign w:val="center"/>
          </w:tcPr>
          <w:p>
            <w:pPr>
              <w:spacing w:after="0" w:before="0"/>
            </w:pPr>
            <w:r>
              <w:rPr>
                <w:sz w:val="15"/>
              </w:rPr>
              <w:t>For this row, 11/12/2025 means 12 November 2025.</w:t>
            </w:r>
          </w:p>
        </w:tc>
      </w:tr>
      <w:tr>
        <w:tc>
          <w:tcPr>
            <w:tcW w:type="dxa" w:w="648"/>
            <w:vAlign w:val="center"/>
            <w:shd w:fill="F3F6F8"/>
          </w:tcPr>
          <w:p>
            <w:pPr>
              <w:spacing w:after="0" w:before="0"/>
            </w:pPr>
            <w:r>
              <w:rPr>
                <w:sz w:val="15"/>
              </w:rPr>
              <w:t>C-103</w:t>
            </w:r>
          </w:p>
        </w:tc>
        <w:tc>
          <w:tcPr>
            <w:tcW w:type="dxa" w:w="806"/>
            <w:vAlign w:val="center"/>
            <w:shd w:fill="F3F6F8"/>
          </w:tcPr>
          <w:p>
            <w:pPr>
              <w:spacing w:after="0" w:before="0"/>
            </w:pPr>
            <w:r>
              <w:rPr>
                <w:sz w:val="15"/>
              </w:rPr>
              <w:t>2026-02-01</w:t>
            </w:r>
          </w:p>
        </w:tc>
        <w:tc>
          <w:tcPr>
            <w:tcW w:type="dxa" w:w="1224"/>
            <w:vAlign w:val="center"/>
            <w:shd w:fill="F3F6F8"/>
          </w:tcPr>
          <w:p>
            <w:pPr>
              <w:spacing w:after="0" w:before="0"/>
            </w:pPr>
            <w:r>
              <w:rPr>
                <w:sz w:val="15"/>
              </w:rPr>
              <w:t>Marlow Content Campus</w:t>
            </w:r>
          </w:p>
        </w:tc>
        <w:tc>
          <w:tcPr>
            <w:tcW w:type="dxa" w:w="1584"/>
            <w:vAlign w:val="center"/>
            <w:shd w:fill="F3F6F8"/>
          </w:tcPr>
          <w:p>
            <w:pPr>
              <w:spacing w:after="0" w:before="0"/>
            </w:pPr>
            <w:r>
              <w:rPr>
                <w:sz w:val="15"/>
              </w:rPr>
              <w:t>31 Fremont Spur, Easton</w:t>
            </w:r>
          </w:p>
        </w:tc>
        <w:tc>
          <w:tcPr>
            <w:tcW w:type="dxa" w:w="806"/>
            <w:vAlign w:val="center"/>
            <w:shd w:fill="F3F6F8"/>
          </w:tcPr>
          <w:p>
            <w:pPr>
              <w:spacing w:after="0" w:before="0"/>
            </w:pPr>
            <w:r>
              <w:rPr>
                <w:sz w:val="15"/>
              </w:rPr>
              <w:t>Sale listing</w:t>
            </w:r>
          </w:p>
        </w:tc>
        <w:tc>
          <w:tcPr>
            <w:tcW w:type="dxa" w:w="792"/>
            <w:vAlign w:val="center"/>
            <w:shd w:fill="F3F6F8"/>
          </w:tcPr>
          <w:p>
            <w:pPr>
              <w:spacing w:after="0" w:before="0"/>
            </w:pPr>
            <w:r>
              <w:rPr>
                <w:sz w:val="15"/>
              </w:rPr>
              <w:t>Active</w:t>
            </w:r>
          </w:p>
        </w:tc>
        <w:tc>
          <w:tcPr>
            <w:tcW w:type="dxa" w:w="979"/>
            <w:vAlign w:val="center"/>
            <w:shd w:fill="F3F6F8"/>
          </w:tcPr>
          <w:p>
            <w:pPr>
              <w:spacing w:after="0" w:before="0"/>
            </w:pPr>
            <w:r>
              <w:rPr>
                <w:sz w:val="15"/>
              </w:rPr>
              <w:t>01/30/2026</w:t>
            </w:r>
          </w:p>
        </w:tc>
        <w:tc>
          <w:tcPr>
            <w:tcW w:type="dxa" w:w="1512"/>
            <w:vAlign w:val="center"/>
            <w:shd w:fill="F3F6F8"/>
          </w:tcPr>
          <w:p>
            <w:pPr>
              <w:spacing w:after="0" w:before="0"/>
            </w:pPr>
            <w:r>
              <w:rPr>
                <w:sz w:val="15"/>
              </w:rPr>
              <w:t>88,000 sf; asking $315/sf</w:t>
            </w:r>
          </w:p>
        </w:tc>
        <w:tc>
          <w:tcPr>
            <w:tcW w:type="dxa" w:w="1296"/>
            <w:vAlign w:val="center"/>
            <w:shd w:fill="F3F6F8"/>
          </w:tcPr>
          <w:p>
            <w:pPr>
              <w:spacing w:after="0" w:before="0"/>
            </w:pPr>
            <w:r>
              <w:rPr>
                <w:sz w:val="15"/>
              </w:rPr>
              <w:t>Listing archive</w:t>
            </w:r>
          </w:p>
        </w:tc>
        <w:tc>
          <w:tcPr>
            <w:tcW w:type="dxa" w:w="1728"/>
            <w:vAlign w:val="center"/>
            <w:shd w:fill="F3F6F8"/>
          </w:tcPr>
          <w:p>
            <w:pPr>
              <w:spacing w:after="0" w:before="0"/>
            </w:pPr>
            <w:r>
              <w:rPr>
                <w:sz w:val="15"/>
              </w:rPr>
              <w:t>Override: Excluded; listing was withdrawn on 30 January 2026 and is not eligible support.</w:t>
            </w:r>
          </w:p>
        </w:tc>
      </w:tr>
      <w:tr>
        <w:tc>
          <w:tcPr>
            <w:tcW w:type="dxa" w:w="648"/>
            <w:vAlign w:val="center"/>
          </w:tcPr>
          <w:p>
            <w:pPr>
              <w:spacing w:after="0" w:before="0"/>
            </w:pPr>
            <w:r>
              <w:rPr>
                <w:sz w:val="15"/>
              </w:rPr>
              <w:t>C-104</w:t>
            </w:r>
          </w:p>
        </w:tc>
        <w:tc>
          <w:tcPr>
            <w:tcW w:type="dxa" w:w="806"/>
            <w:vAlign w:val="center"/>
          </w:tcPr>
          <w:p>
            <w:pPr>
              <w:spacing w:after="0" w:before="0"/>
            </w:pPr>
            <w:r>
              <w:rPr>
                <w:sz w:val="15"/>
              </w:rPr>
              <w:t>2025-07-08</w:t>
            </w:r>
          </w:p>
        </w:tc>
        <w:tc>
          <w:tcPr>
            <w:tcW w:type="dxa" w:w="1224"/>
            <w:vAlign w:val="center"/>
          </w:tcPr>
          <w:p>
            <w:pPr>
              <w:spacing w:after="0" w:before="0"/>
            </w:pPr>
            <w:r>
              <w:rPr>
                <w:sz w:val="15"/>
              </w:rPr>
              <w:t>Nolan Post House</w:t>
            </w:r>
          </w:p>
        </w:tc>
        <w:tc>
          <w:tcPr>
            <w:tcW w:type="dxa" w:w="1584"/>
            <w:vAlign w:val="center"/>
          </w:tcPr>
          <w:p>
            <w:pPr>
              <w:spacing w:after="0" w:before="0"/>
            </w:pPr>
            <w:r>
              <w:rPr>
                <w:sz w:val="15"/>
              </w:rPr>
              <w:t>55 Brae Road, Glendale</w:t>
            </w:r>
          </w:p>
        </w:tc>
        <w:tc>
          <w:tcPr>
            <w:tcW w:type="dxa" w:w="806"/>
            <w:vAlign w:val="center"/>
          </w:tcPr>
          <w:p>
            <w:pPr>
              <w:spacing w:after="0" w:before="0"/>
            </w:pPr>
            <w:r>
              <w:rPr>
                <w:sz w:val="15"/>
              </w:rPr>
              <w:t>Lease</w:t>
            </w:r>
          </w:p>
        </w:tc>
        <w:tc>
          <w:tcPr>
            <w:tcW w:type="dxa" w:w="792"/>
            <w:vAlign w:val="center"/>
          </w:tcPr>
          <w:p>
            <w:pPr>
              <w:spacing w:after="0" w:before="0"/>
            </w:pPr>
            <w:r>
              <w:rPr>
                <w:sz w:val="15"/>
              </w:rPr>
              <w:t>Executed</w:t>
            </w:r>
          </w:p>
        </w:tc>
        <w:tc>
          <w:tcPr>
            <w:tcW w:type="dxa" w:w="979"/>
            <w:vAlign w:val="center"/>
          </w:tcPr>
          <w:p>
            <w:pPr>
              <w:spacing w:after="0" w:before="0"/>
            </w:pPr>
            <w:r>
              <w:rPr>
                <w:sz w:val="15"/>
              </w:rPr>
              <w:t>03/04/2025</w:t>
            </w:r>
          </w:p>
        </w:tc>
        <w:tc>
          <w:tcPr>
            <w:tcW w:type="dxa" w:w="1512"/>
            <w:vAlign w:val="center"/>
          </w:tcPr>
          <w:p>
            <w:pPr>
              <w:spacing w:after="0" w:before="0"/>
            </w:pPr>
            <w:r>
              <w:rPr>
                <w:sz w:val="15"/>
              </w:rPr>
              <w:t>29,800 sf post-production facility; 18,200 sf leased</w:t>
            </w:r>
          </w:p>
        </w:tc>
        <w:tc>
          <w:tcPr>
            <w:tcW w:type="dxa" w:w="1296"/>
            <w:vAlign w:val="center"/>
          </w:tcPr>
          <w:p>
            <w:pPr>
              <w:spacing w:after="0" w:before="0"/>
            </w:pPr>
            <w:r>
              <w:rPr>
                <w:sz w:val="15"/>
              </w:rPr>
              <w:t>Broker-confirmed executed lease information</w:t>
            </w:r>
          </w:p>
        </w:tc>
        <w:tc>
          <w:tcPr>
            <w:tcW w:type="dxa" w:w="1728"/>
            <w:vAlign w:val="center"/>
          </w:tcPr>
          <w:p>
            <w:pPr>
              <w:spacing w:after="0" w:before="0"/>
            </w:pPr>
            <w:r>
              <w:rPr>
                <w:sz w:val="15"/>
              </w:rPr>
              <w:t>For this row, 03/04/2025 means 4 March 2025.</w:t>
            </w:r>
          </w:p>
        </w:tc>
      </w:tr>
    </w:tbl>
    <w:p>
      <w:pPr>
        <w:spacing w:after="20"/>
      </w:pPr>
    </w:p>
    <w:p>
      <w:pPr>
        <w:pStyle w:val="Heading1"/>
        <w:spacing w:before="220" w:after="80"/>
      </w:pPr>
      <w:r>
        <w:t>Review and Change Register</w:t>
      </w:r>
    </w:p>
    <w:p>
      <w:pPr>
        <w:spacing w:after="100"/>
      </w:pPr>
      <w:r>
        <w:t>Entries reflect emails and meeting notes from Yusuf Escamilla, Beatriz Chakraborty, Jelena Havlicek, and Ibrahim Ingram. Change ID is the de-duplication key; only the latest effective entry for each ID controls. Notes override conflicting fields.</w:t>
      </w:r>
    </w:p>
    <w:tbl>
      <w:tblPr>
        <w:tblStyle w:val="TableGrid"/>
        <w:tblW w:type="auto" w:w="0"/>
        <w:jc w:val="center"/>
        <w:tblLook w:firstColumn="1" w:firstRow="1" w:lastColumn="0" w:lastRow="0" w:noHBand="0" w:noVBand="1" w:val="04A0"/>
        <w:tblBorders>
          <w:top w:val="single" w:sz="4" w:color="D8DDE3"/>
          <w:left w:val="single" w:sz="4" w:color="D8DDE3"/>
          <w:bottom w:val="single" w:sz="4" w:color="D8DDE3"/>
          <w:right w:val="single" w:sz="4" w:color="D8DDE3"/>
          <w:insideH w:val="single" w:sz="4" w:color="D8DDE3"/>
          <w:insideV w:val="single" w:sz="4" w:color="D8DDE3"/>
        </w:tblBorders>
      </w:tblPr>
      <w:tblGrid>
        <w:gridCol w:w="1694"/>
        <w:gridCol w:w="1694"/>
        <w:gridCol w:w="1694"/>
        <w:gridCol w:w="1694"/>
        <w:gridCol w:w="1694"/>
        <w:gridCol w:w="1694"/>
      </w:tblGrid>
      <w:tr>
        <w:tc>
          <w:tcPr>
            <w:tcW w:type="dxa" w:w="864"/>
            <w:shd w:fill="17324D"/>
            <w:vAlign w:val="center"/>
          </w:tcPr>
          <w:p>
            <w:r>
              <w:rPr>
                <w:b/>
                <w:color w:val="FFFFFF"/>
                <w:sz w:val="16"/>
              </w:rPr>
              <w:t>Change ID</w:t>
            </w:r>
          </w:p>
        </w:tc>
        <w:tc>
          <w:tcPr>
            <w:tcW w:type="dxa" w:w="936"/>
            <w:shd w:fill="17324D"/>
            <w:vAlign w:val="center"/>
          </w:tcPr>
          <w:p>
            <w:r>
              <w:rPr>
                <w:b/>
                <w:color w:val="FFFFFF"/>
                <w:sz w:val="16"/>
              </w:rPr>
              <w:t>Event date</w:t>
            </w:r>
          </w:p>
        </w:tc>
        <w:tc>
          <w:tcPr>
            <w:tcW w:type="dxa" w:w="936"/>
            <w:shd w:fill="17324D"/>
            <w:vAlign w:val="center"/>
          </w:tcPr>
          <w:p>
            <w:r>
              <w:rPr>
                <w:b/>
                <w:color w:val="FFFFFF"/>
                <w:sz w:val="16"/>
              </w:rPr>
              <w:t>Disposition</w:t>
            </w:r>
          </w:p>
        </w:tc>
        <w:tc>
          <w:tcPr>
            <w:tcW w:type="dxa" w:w="1368"/>
            <w:shd w:fill="17324D"/>
            <w:vAlign w:val="center"/>
          </w:tcPr>
          <w:p>
            <w:r>
              <w:rPr>
                <w:b/>
                <w:color w:val="FFFFFF"/>
                <w:sz w:val="16"/>
              </w:rPr>
              <w:t>Topic</w:t>
            </w:r>
          </w:p>
        </w:tc>
        <w:tc>
          <w:tcPr>
            <w:tcW w:type="dxa" w:w="3456"/>
            <w:shd w:fill="17324D"/>
            <w:vAlign w:val="center"/>
          </w:tcPr>
          <w:p>
            <w:r>
              <w:rPr>
                <w:b/>
                <w:color w:val="FFFFFF"/>
                <w:sz w:val="16"/>
              </w:rPr>
              <w:t>Requested outcome</w:t>
            </w:r>
          </w:p>
        </w:tc>
        <w:tc>
          <w:tcPr>
            <w:tcW w:type="dxa" w:w="3240"/>
            <w:shd w:fill="17324D"/>
            <w:vAlign w:val="center"/>
          </w:tcPr>
          <w:p>
            <w:r>
              <w:rPr>
                <w:b/>
                <w:color w:val="FFFFFF"/>
                <w:sz w:val="16"/>
              </w:rPr>
              <w:t>Notes</w:t>
            </w:r>
          </w:p>
        </w:tc>
      </w:tr>
      <w:tr>
        <w:tc>
          <w:tcPr>
            <w:tcW w:type="dxa" w:w="864"/>
            <w:vAlign w:val="center"/>
          </w:tcPr>
          <w:p>
            <w:pPr>
              <w:spacing w:after="0" w:before="0"/>
            </w:pPr>
            <w:r>
              <w:rPr>
                <w:sz w:val="15"/>
              </w:rPr>
              <w:t>CH-01</w:t>
            </w:r>
          </w:p>
        </w:tc>
        <w:tc>
          <w:tcPr>
            <w:tcW w:type="dxa" w:w="936"/>
            <w:vAlign w:val="center"/>
          </w:tcPr>
          <w:p>
            <w:pPr>
              <w:spacing w:after="0" w:before="0"/>
            </w:pPr>
            <w:r>
              <w:rPr>
                <w:sz w:val="15"/>
              </w:rPr>
              <w:t>2026-06-09</w:t>
            </w:r>
          </w:p>
        </w:tc>
        <w:tc>
          <w:tcPr>
            <w:tcW w:type="dxa" w:w="936"/>
            <w:vAlign w:val="center"/>
          </w:tcPr>
          <w:p>
            <w:pPr>
              <w:spacing w:after="0" w:before="0"/>
            </w:pPr>
            <w:r>
              <w:rPr>
                <w:sz w:val="15"/>
              </w:rPr>
              <w:t>Apply</w:t>
            </w:r>
          </w:p>
        </w:tc>
        <w:tc>
          <w:tcPr>
            <w:tcW w:type="dxa" w:w="1368"/>
            <w:vAlign w:val="center"/>
          </w:tcPr>
          <w:p>
            <w:pPr>
              <w:spacing w:after="0" w:before="0"/>
            </w:pPr>
            <w:r>
              <w:rPr>
                <w:sz w:val="15"/>
              </w:rPr>
              <w:t>Opening positioning</w:t>
            </w:r>
          </w:p>
        </w:tc>
        <w:tc>
          <w:tcPr>
            <w:tcW w:type="dxa" w:w="3456"/>
            <w:vAlign w:val="center"/>
          </w:tcPr>
          <w:p>
            <w:pPr>
              <w:spacing w:after="0" w:before="0"/>
            </w:pPr>
            <w:r>
              <w:rPr>
                <w:sz w:val="15"/>
              </w:rPr>
              <w:t>Remove “best-in-class,” “premier,” and other unsupported superlatives.</w:t>
            </w:r>
          </w:p>
        </w:tc>
        <w:tc>
          <w:tcPr>
            <w:tcW w:type="dxa" w:w="3240"/>
            <w:vAlign w:val="center"/>
          </w:tcPr>
          <w:p>
            <w:pPr>
              <w:spacing w:after="0" w:before="0"/>
            </w:pPr>
            <w:r>
              <w:rPr>
                <w:sz w:val="15"/>
              </w:rPr>
              <w:t>Yusuf: use measured physical description and planning context instead.</w:t>
            </w:r>
          </w:p>
        </w:tc>
      </w:tr>
      <w:tr>
        <w:tc>
          <w:tcPr>
            <w:tcW w:type="dxa" w:w="864"/>
            <w:vAlign w:val="center"/>
            <w:shd w:fill="F3F6F8"/>
          </w:tcPr>
          <w:p>
            <w:pPr>
              <w:spacing w:after="0" w:before="0"/>
            </w:pPr>
            <w:r>
              <w:rPr>
                <w:sz w:val="15"/>
              </w:rPr>
              <w:t>CH-02</w:t>
            </w:r>
          </w:p>
        </w:tc>
        <w:tc>
          <w:tcPr>
            <w:tcW w:type="dxa" w:w="936"/>
            <w:vAlign w:val="center"/>
            <w:shd w:fill="F3F6F8"/>
          </w:tcPr>
          <w:p>
            <w:pPr>
              <w:spacing w:after="0" w:before="0"/>
            </w:pPr>
            <w:r>
              <w:rPr>
                <w:sz w:val="15"/>
              </w:rPr>
              <w:t>2026-06-10</w:t>
            </w:r>
          </w:p>
        </w:tc>
        <w:tc>
          <w:tcPr>
            <w:tcW w:type="dxa" w:w="936"/>
            <w:vAlign w:val="center"/>
            <w:shd w:fill="F3F6F8"/>
          </w:tcPr>
          <w:p>
            <w:pPr>
              <w:spacing w:after="0" w:before="0"/>
            </w:pPr>
            <w:r>
              <w:rPr>
                <w:sz w:val="15"/>
              </w:rPr>
              <w:t>Apply</w:t>
            </w:r>
          </w:p>
        </w:tc>
        <w:tc>
          <w:tcPr>
            <w:tcW w:type="dxa" w:w="1368"/>
            <w:vAlign w:val="center"/>
            <w:shd w:fill="F3F6F8"/>
          </w:tcPr>
          <w:p>
            <w:pPr>
              <w:spacing w:after="0" w:before="0"/>
            </w:pPr>
            <w:r>
              <w:rPr>
                <w:sz w:val="15"/>
              </w:rPr>
              <w:t>Building description</w:t>
            </w:r>
          </w:p>
        </w:tc>
        <w:tc>
          <w:tcPr>
            <w:tcW w:type="dxa" w:w="3456"/>
            <w:vAlign w:val="center"/>
            <w:shd w:fill="F3F6F8"/>
          </w:tcPr>
          <w:p>
            <w:pPr>
              <w:spacing w:after="0" w:before="0"/>
            </w:pPr>
            <w:r>
              <w:rPr>
                <w:sz w:val="15"/>
              </w:rPr>
              <w:t>Replace 83,640 sf and four-stage language with current facts.</w:t>
            </w:r>
          </w:p>
        </w:tc>
        <w:tc>
          <w:tcPr>
            <w:tcW w:type="dxa" w:w="3240"/>
            <w:vAlign w:val="center"/>
            <w:shd w:fill="F3F6F8"/>
          </w:tcPr>
          <w:p>
            <w:pPr>
              <w:spacing w:after="0" w:before="0"/>
            </w:pPr>
            <w:r>
              <w:rPr>
                <w:sz w:val="15"/>
              </w:rPr>
              <w:t>Later fact schedule controls exact area and volume description.</w:t>
            </w:r>
          </w:p>
        </w:tc>
      </w:tr>
      <w:tr>
        <w:tc>
          <w:tcPr>
            <w:tcW w:type="dxa" w:w="864"/>
            <w:vAlign w:val="center"/>
          </w:tcPr>
          <w:p>
            <w:pPr>
              <w:spacing w:after="0" w:before="0"/>
            </w:pPr>
            <w:r>
              <w:rPr>
                <w:sz w:val="15"/>
              </w:rPr>
              <w:t>CH-03</w:t>
            </w:r>
          </w:p>
        </w:tc>
        <w:tc>
          <w:tcPr>
            <w:tcW w:type="dxa" w:w="936"/>
            <w:vAlign w:val="center"/>
          </w:tcPr>
          <w:p>
            <w:pPr>
              <w:spacing w:after="0" w:before="0"/>
            </w:pPr>
            <w:r>
              <w:rPr>
                <w:sz w:val="15"/>
              </w:rPr>
              <w:t>2026-06-11</w:t>
            </w:r>
          </w:p>
        </w:tc>
        <w:tc>
          <w:tcPr>
            <w:tcW w:type="dxa" w:w="936"/>
            <w:vAlign w:val="center"/>
          </w:tcPr>
          <w:p>
            <w:pPr>
              <w:spacing w:after="0" w:before="0"/>
            </w:pPr>
            <w:r>
              <w:rPr>
                <w:sz w:val="15"/>
              </w:rPr>
              <w:t>Apply</w:t>
            </w:r>
          </w:p>
        </w:tc>
        <w:tc>
          <w:tcPr>
            <w:tcW w:type="dxa" w:w="1368"/>
            <w:vAlign w:val="center"/>
          </w:tcPr>
          <w:p>
            <w:pPr>
              <w:spacing w:after="0" w:before="0"/>
            </w:pPr>
            <w:r>
              <w:rPr>
                <w:sz w:val="15"/>
              </w:rPr>
              <w:t>Planning</w:t>
            </w:r>
          </w:p>
        </w:tc>
        <w:tc>
          <w:tcPr>
            <w:tcW w:type="dxa" w:w="3456"/>
            <w:vAlign w:val="center"/>
          </w:tcPr>
          <w:p>
            <w:pPr>
              <w:spacing w:after="0" w:before="0"/>
            </w:pPr>
            <w:r>
              <w:rPr>
                <w:sz w:val="15"/>
              </w:rPr>
              <w:t>Use MPS-2 designation exactly; remove entitlement claim.</w:t>
            </w:r>
          </w:p>
        </w:tc>
        <w:tc>
          <w:tcPr>
            <w:tcW w:type="dxa" w:w="3240"/>
            <w:vAlign w:val="center"/>
          </w:tcPr>
          <w:p>
            <w:pPr>
              <w:spacing w:after="0" w:before="0"/>
            </w:pPr>
            <w:r>
              <w:rPr>
                <w:sz w:val="15"/>
              </w:rPr>
              <w:t>Conditional uses must carry the CUP qualification where discussed.</w:t>
            </w:r>
          </w:p>
        </w:tc>
      </w:tr>
      <w:tr>
        <w:tc>
          <w:tcPr>
            <w:tcW w:type="dxa" w:w="864"/>
            <w:vAlign w:val="center"/>
            <w:shd w:fill="F3F6F8"/>
          </w:tcPr>
          <w:p>
            <w:pPr>
              <w:spacing w:after="0" w:before="0"/>
            </w:pPr>
            <w:r>
              <w:rPr>
                <w:sz w:val="15"/>
              </w:rPr>
              <w:t>CH-04</w:t>
            </w:r>
          </w:p>
        </w:tc>
        <w:tc>
          <w:tcPr>
            <w:tcW w:type="dxa" w:w="936"/>
            <w:vAlign w:val="center"/>
            <w:shd w:fill="F3F6F8"/>
          </w:tcPr>
          <w:p>
            <w:pPr>
              <w:spacing w:after="0" w:before="0"/>
            </w:pPr>
            <w:r>
              <w:rPr>
                <w:sz w:val="15"/>
              </w:rPr>
              <w:t>2026-06-13</w:t>
            </w:r>
          </w:p>
        </w:tc>
        <w:tc>
          <w:tcPr>
            <w:tcW w:type="dxa" w:w="936"/>
            <w:vAlign w:val="center"/>
            <w:shd w:fill="F3F6F8"/>
          </w:tcPr>
          <w:p>
            <w:pPr>
              <w:spacing w:after="0" w:before="0"/>
            </w:pPr>
            <w:r>
              <w:rPr>
                <w:sz w:val="15"/>
              </w:rPr>
              <w:t>Apply</w:t>
            </w:r>
          </w:p>
        </w:tc>
        <w:tc>
          <w:tcPr>
            <w:tcW w:type="dxa" w:w="1368"/>
            <w:vAlign w:val="center"/>
            <w:shd w:fill="F3F6F8"/>
          </w:tcPr>
          <w:p>
            <w:pPr>
              <w:spacing w:after="0" w:before="0"/>
            </w:pPr>
            <w:r>
              <w:rPr>
                <w:sz w:val="15"/>
              </w:rPr>
              <w:t>Tenant intent</w:t>
            </w:r>
          </w:p>
        </w:tc>
        <w:tc>
          <w:tcPr>
            <w:tcW w:type="dxa" w:w="3456"/>
            <w:vAlign w:val="center"/>
            <w:shd w:fill="F3F6F8"/>
          </w:tcPr>
          <w:p>
            <w:pPr>
              <w:spacing w:after="0" w:before="0"/>
            </w:pPr>
            <w:r>
              <w:rPr>
                <w:sz w:val="15"/>
              </w:rPr>
              <w:t>Delete expectation that Wexmoor will renew or depart.</w:t>
            </w:r>
          </w:p>
        </w:tc>
        <w:tc>
          <w:tcPr>
            <w:tcW w:type="dxa" w:w="3240"/>
            <w:vAlign w:val="center"/>
            <w:shd w:fill="F3F6F8"/>
          </w:tcPr>
          <w:p>
            <w:pPr>
              <w:spacing w:after="0" w:before="0"/>
            </w:pPr>
            <w:r>
              <w:rPr>
                <w:sz w:val="15"/>
              </w:rPr>
              <w:t>Use only the final lease facts; no inferred intention.</w:t>
            </w:r>
          </w:p>
        </w:tc>
      </w:tr>
      <w:tr>
        <w:tc>
          <w:tcPr>
            <w:tcW w:type="dxa" w:w="864"/>
            <w:vAlign w:val="center"/>
          </w:tcPr>
          <w:p>
            <w:pPr>
              <w:spacing w:after="0" w:before="0"/>
            </w:pPr>
            <w:r>
              <w:rPr>
                <w:sz w:val="15"/>
              </w:rPr>
              <w:t>CH-05</w:t>
            </w:r>
          </w:p>
        </w:tc>
        <w:tc>
          <w:tcPr>
            <w:tcW w:type="dxa" w:w="936"/>
            <w:vAlign w:val="center"/>
          </w:tcPr>
          <w:p>
            <w:pPr>
              <w:spacing w:after="0" w:before="0"/>
            </w:pPr>
            <w:r>
              <w:rPr>
                <w:sz w:val="15"/>
              </w:rPr>
              <w:t>2026-06-15</w:t>
            </w:r>
          </w:p>
        </w:tc>
        <w:tc>
          <w:tcPr>
            <w:tcW w:type="dxa" w:w="936"/>
            <w:vAlign w:val="center"/>
          </w:tcPr>
          <w:p>
            <w:pPr>
              <w:spacing w:after="0" w:before="0"/>
            </w:pPr>
            <w:r>
              <w:rPr>
                <w:sz w:val="15"/>
              </w:rPr>
              <w:t>Apply</w:t>
            </w:r>
          </w:p>
        </w:tc>
        <w:tc>
          <w:tcPr>
            <w:tcW w:type="dxa" w:w="1368"/>
            <w:vAlign w:val="center"/>
          </w:tcPr>
          <w:p>
            <w:pPr>
              <w:spacing w:after="0" w:before="0"/>
            </w:pPr>
            <w:r>
              <w:rPr>
                <w:sz w:val="15"/>
              </w:rPr>
              <w:t>Rollover structure</w:t>
            </w:r>
          </w:p>
        </w:tc>
        <w:tc>
          <w:tcPr>
            <w:tcW w:type="dxa" w:w="3456"/>
            <w:vAlign w:val="center"/>
          </w:tcPr>
          <w:p>
            <w:pPr>
              <w:spacing w:after="0" w:before="0"/>
            </w:pPr>
            <w:r>
              <w:rPr>
                <w:sz w:val="15"/>
              </w:rPr>
              <w:t>Use an integrated disclosure of leaseback and rollover.</w:t>
            </w:r>
          </w:p>
        </w:tc>
        <w:tc>
          <w:tcPr>
            <w:tcW w:type="dxa" w:w="3240"/>
            <w:vAlign w:val="center"/>
          </w:tcPr>
          <w:p>
            <w:pPr>
              <w:spacing w:after="0" w:before="0"/>
            </w:pPr>
            <w:r>
              <w:rPr>
                <w:sz w:val="15"/>
              </w:rPr>
              <w:t>Superseded by later controlling entry.</w:t>
            </w:r>
          </w:p>
        </w:tc>
      </w:tr>
      <w:tr>
        <w:tc>
          <w:tcPr>
            <w:tcW w:type="dxa" w:w="864"/>
            <w:vAlign w:val="center"/>
            <w:shd w:fill="F3F6F8"/>
          </w:tcPr>
          <w:p>
            <w:pPr>
              <w:spacing w:after="0" w:before="0"/>
            </w:pPr>
            <w:r>
              <w:rPr>
                <w:sz w:val="15"/>
              </w:rPr>
              <w:t>CH-05</w:t>
            </w:r>
          </w:p>
        </w:tc>
        <w:tc>
          <w:tcPr>
            <w:tcW w:type="dxa" w:w="936"/>
            <w:vAlign w:val="center"/>
            <w:shd w:fill="F3F6F8"/>
          </w:tcPr>
          <w:p>
            <w:pPr>
              <w:spacing w:after="0" w:before="0"/>
            </w:pPr>
            <w:r>
              <w:rPr>
                <w:sz w:val="15"/>
              </w:rPr>
              <w:t>2026-09-18</w:t>
            </w:r>
          </w:p>
        </w:tc>
        <w:tc>
          <w:tcPr>
            <w:tcW w:type="dxa" w:w="936"/>
            <w:vAlign w:val="center"/>
            <w:shd w:fill="F3F6F8"/>
          </w:tcPr>
          <w:p>
            <w:pPr>
              <w:spacing w:after="0" w:before="0"/>
            </w:pPr>
            <w:r>
              <w:rPr>
                <w:sz w:val="15"/>
              </w:rPr>
              <w:t>Apply</w:t>
            </w:r>
          </w:p>
        </w:tc>
        <w:tc>
          <w:tcPr>
            <w:tcW w:type="dxa" w:w="1368"/>
            <w:vAlign w:val="center"/>
            <w:shd w:fill="F3F6F8"/>
          </w:tcPr>
          <w:p>
            <w:pPr>
              <w:spacing w:after="0" w:before="0"/>
            </w:pPr>
            <w:r>
              <w:rPr>
                <w:sz w:val="15"/>
              </w:rPr>
              <w:t>Rollover structure</w:t>
            </w:r>
          </w:p>
        </w:tc>
        <w:tc>
          <w:tcPr>
            <w:tcW w:type="dxa" w:w="3456"/>
            <w:vAlign w:val="center"/>
            <w:shd w:fill="F3F6F8"/>
          </w:tcPr>
          <w:p>
            <w:pPr>
              <w:spacing w:after="0" w:before="0"/>
            </w:pPr>
            <w:r>
              <w:rPr>
                <w:sz w:val="15"/>
              </w:rPr>
              <w:t>Either an integrated treatment or a distinct occupancy-and-rollover passage is authorized; choose only one and identify it in the internal clearance note.</w:t>
            </w:r>
          </w:p>
        </w:tc>
        <w:tc>
          <w:tcPr>
            <w:tcW w:type="dxa" w:w="3240"/>
            <w:vAlign w:val="center"/>
            <w:shd w:fill="F3F6F8"/>
          </w:tcPr>
          <w:p>
            <w:pPr>
              <w:spacing w:after="0" w:before="0"/>
            </w:pPr>
            <w:r>
              <w:rPr>
                <w:sz w:val="15"/>
              </w:rPr>
              <w:t>Latest entry controls. Disclosure must be prominent in the published narrative.</w:t>
            </w:r>
          </w:p>
        </w:tc>
      </w:tr>
      <w:tr>
        <w:tc>
          <w:tcPr>
            <w:tcW w:type="dxa" w:w="864"/>
            <w:vAlign w:val="center"/>
          </w:tcPr>
          <w:p>
            <w:pPr>
              <w:spacing w:after="0" w:before="0"/>
            </w:pPr>
            <w:r>
              <w:rPr>
                <w:sz w:val="15"/>
              </w:rPr>
              <w:t>CH-06</w:t>
            </w:r>
          </w:p>
        </w:tc>
        <w:tc>
          <w:tcPr>
            <w:tcW w:type="dxa" w:w="936"/>
            <w:vAlign w:val="center"/>
          </w:tcPr>
          <w:p>
            <w:pPr>
              <w:spacing w:after="0" w:before="0"/>
            </w:pPr>
            <w:r>
              <w:rPr>
                <w:sz w:val="15"/>
              </w:rPr>
              <w:t>2026-06-18</w:t>
            </w:r>
          </w:p>
        </w:tc>
        <w:tc>
          <w:tcPr>
            <w:tcW w:type="dxa" w:w="936"/>
            <w:vAlign w:val="center"/>
          </w:tcPr>
          <w:p>
            <w:pPr>
              <w:spacing w:after="0" w:before="0"/>
            </w:pPr>
            <w:r>
              <w:rPr>
                <w:sz w:val="15"/>
              </w:rPr>
              <w:t>Apply</w:t>
            </w:r>
          </w:p>
        </w:tc>
        <w:tc>
          <w:tcPr>
            <w:tcW w:type="dxa" w:w="1368"/>
            <w:vAlign w:val="center"/>
          </w:tcPr>
          <w:p>
            <w:pPr>
              <w:spacing w:after="0" w:before="0"/>
            </w:pPr>
            <w:r>
              <w:rPr>
                <w:sz w:val="15"/>
              </w:rPr>
              <w:t>Comparable discussion</w:t>
            </w:r>
          </w:p>
        </w:tc>
        <w:tc>
          <w:tcPr>
            <w:tcW w:type="dxa" w:w="3456"/>
            <w:vAlign w:val="center"/>
          </w:tcPr>
          <w:p>
            <w:pPr>
              <w:spacing w:after="0" w:before="0"/>
            </w:pPr>
            <w:r>
              <w:rPr>
                <w:sz w:val="15"/>
              </w:rPr>
              <w:t>Use only final eligible comparable records and readable source-basis attribution.</w:t>
            </w:r>
          </w:p>
        </w:tc>
        <w:tc>
          <w:tcPr>
            <w:tcW w:type="dxa" w:w="3240"/>
            <w:vAlign w:val="center"/>
          </w:tcPr>
          <w:p>
            <w:pPr>
              <w:spacing w:after="0" w:before="0"/>
            </w:pPr>
            <w:r>
              <w:rPr>
                <w:sz w:val="15"/>
              </w:rPr>
              <w:t>No projection from comparable activity.</w:t>
            </w:r>
          </w:p>
        </w:tc>
      </w:tr>
      <w:tr>
        <w:tc>
          <w:tcPr>
            <w:tcW w:type="dxa" w:w="864"/>
            <w:vAlign w:val="center"/>
            <w:shd w:fill="F3F6F8"/>
          </w:tcPr>
          <w:p>
            <w:pPr>
              <w:spacing w:after="0" w:before="0"/>
            </w:pPr>
            <w:r>
              <w:rPr>
                <w:sz w:val="15"/>
              </w:rPr>
              <w:t>CH-06</w:t>
            </w:r>
          </w:p>
        </w:tc>
        <w:tc>
          <w:tcPr>
            <w:tcW w:type="dxa" w:w="936"/>
            <w:vAlign w:val="center"/>
            <w:shd w:fill="F3F6F8"/>
          </w:tcPr>
          <w:p>
            <w:pPr>
              <w:spacing w:after="0" w:before="0"/>
            </w:pPr>
            <w:r>
              <w:rPr>
                <w:sz w:val="15"/>
              </w:rPr>
              <w:t>2026-09-18</w:t>
            </w:r>
          </w:p>
        </w:tc>
        <w:tc>
          <w:tcPr>
            <w:tcW w:type="dxa" w:w="936"/>
            <w:vAlign w:val="center"/>
            <w:shd w:fill="F3F6F8"/>
          </w:tcPr>
          <w:p>
            <w:pPr>
              <w:spacing w:after="0" w:before="0"/>
            </w:pPr>
            <w:r>
              <w:rPr>
                <w:sz w:val="15"/>
              </w:rPr>
              <w:t>Apply</w:t>
            </w:r>
          </w:p>
        </w:tc>
        <w:tc>
          <w:tcPr>
            <w:tcW w:type="dxa" w:w="1368"/>
            <w:vAlign w:val="center"/>
            <w:shd w:fill="F3F6F8"/>
          </w:tcPr>
          <w:p>
            <w:pPr>
              <w:spacing w:after="0" w:before="0"/>
            </w:pPr>
            <w:r>
              <w:rPr>
                <w:sz w:val="15"/>
              </w:rPr>
              <w:t>Comparable discussion</w:t>
            </w:r>
          </w:p>
        </w:tc>
        <w:tc>
          <w:tcPr>
            <w:tcW w:type="dxa" w:w="3456"/>
            <w:vAlign w:val="center"/>
            <w:shd w:fill="F3F6F8"/>
          </w:tcPr>
          <w:p>
            <w:pPr>
              <w:spacing w:after="0" w:before="0"/>
            </w:pPr>
            <w:r>
              <w:rPr>
                <w:sz w:val="15"/>
              </w:rPr>
              <w:t>Retain historical context only; identify each used property, location, type/status, relevant timing, and source basis.</w:t>
            </w:r>
          </w:p>
        </w:tc>
        <w:tc>
          <w:tcPr>
            <w:tcW w:type="dxa" w:w="3240"/>
            <w:vAlign w:val="center"/>
            <w:shd w:fill="F3F6F8"/>
          </w:tcPr>
          <w:p>
            <w:pPr>
              <w:spacing w:after="0" w:before="0"/>
            </w:pPr>
            <w:r>
              <w:rPr>
                <w:sz w:val="15"/>
              </w:rPr>
              <w:t>Latest entry controls; do not cite Marlow Content Campus.</w:t>
            </w:r>
          </w:p>
        </w:tc>
      </w:tr>
      <w:tr>
        <w:tc>
          <w:tcPr>
            <w:tcW w:type="dxa" w:w="864"/>
            <w:vAlign w:val="center"/>
          </w:tcPr>
          <w:p>
            <w:pPr>
              <w:spacing w:after="0" w:before="0"/>
            </w:pPr>
            <w:r>
              <w:rPr>
                <w:sz w:val="15"/>
              </w:rPr>
              <w:t>CH-07</w:t>
            </w:r>
          </w:p>
        </w:tc>
        <w:tc>
          <w:tcPr>
            <w:tcW w:type="dxa" w:w="936"/>
            <w:vAlign w:val="center"/>
          </w:tcPr>
          <w:p>
            <w:pPr>
              <w:spacing w:after="0" w:before="0"/>
            </w:pPr>
            <w:r>
              <w:rPr>
                <w:sz w:val="15"/>
              </w:rPr>
              <w:t>2026-06-20</w:t>
            </w:r>
          </w:p>
        </w:tc>
        <w:tc>
          <w:tcPr>
            <w:tcW w:type="dxa" w:w="936"/>
            <w:vAlign w:val="center"/>
          </w:tcPr>
          <w:p>
            <w:pPr>
              <w:spacing w:after="0" w:before="0"/>
            </w:pPr>
            <w:r>
              <w:rPr>
                <w:sz w:val="15"/>
              </w:rPr>
              <w:t>Rejected</w:t>
            </w:r>
          </w:p>
        </w:tc>
        <w:tc>
          <w:tcPr>
            <w:tcW w:type="dxa" w:w="1368"/>
            <w:vAlign w:val="center"/>
          </w:tcPr>
          <w:p>
            <w:pPr>
              <w:spacing w:after="0" w:before="0"/>
            </w:pPr>
            <w:r>
              <w:rPr>
                <w:sz w:val="15"/>
              </w:rPr>
              <w:t>Availability</w:t>
            </w:r>
          </w:p>
        </w:tc>
        <w:tc>
          <w:tcPr>
            <w:tcW w:type="dxa" w:w="3456"/>
            <w:vAlign w:val="center"/>
          </w:tcPr>
          <w:p>
            <w:pPr>
              <w:spacing w:after="0" w:before="0"/>
            </w:pPr>
            <w:r>
              <w:rPr>
                <w:sz w:val="15"/>
              </w:rPr>
              <w:t>Call all premises immediately available at closing.</w:t>
            </w:r>
          </w:p>
        </w:tc>
        <w:tc>
          <w:tcPr>
            <w:tcW w:type="dxa" w:w="3240"/>
            <w:vAlign w:val="center"/>
          </w:tcPr>
          <w:p>
            <w:pPr>
              <w:spacing w:after="0" w:before="0"/>
            </w:pPr>
            <w:r>
              <w:rPr>
                <w:sz w:val="15"/>
              </w:rPr>
              <w:t>Rejected: conflicts with leaseback.</w:t>
            </w:r>
          </w:p>
        </w:tc>
      </w:tr>
      <w:tr>
        <w:tc>
          <w:tcPr>
            <w:tcW w:type="dxa" w:w="864"/>
            <w:vAlign w:val="center"/>
            <w:shd w:fill="F3F6F8"/>
          </w:tcPr>
          <w:p>
            <w:pPr>
              <w:spacing w:after="0" w:before="0"/>
            </w:pPr>
            <w:r>
              <w:rPr>
                <w:sz w:val="15"/>
              </w:rPr>
              <w:t>CH-08</w:t>
            </w:r>
          </w:p>
        </w:tc>
        <w:tc>
          <w:tcPr>
            <w:tcW w:type="dxa" w:w="936"/>
            <w:vAlign w:val="center"/>
            <w:shd w:fill="F3F6F8"/>
          </w:tcPr>
          <w:p>
            <w:pPr>
              <w:spacing w:after="0" w:before="0"/>
            </w:pPr>
            <w:r>
              <w:rPr>
                <w:sz w:val="15"/>
              </w:rPr>
              <w:t>2026-06-21</w:t>
            </w:r>
          </w:p>
        </w:tc>
        <w:tc>
          <w:tcPr>
            <w:tcW w:type="dxa" w:w="936"/>
            <w:vAlign w:val="center"/>
            <w:shd w:fill="F3F6F8"/>
          </w:tcPr>
          <w:p>
            <w:pPr>
              <w:spacing w:after="0" w:before="0"/>
            </w:pPr>
            <w:r>
              <w:rPr>
                <w:sz w:val="15"/>
              </w:rPr>
              <w:t>Internal only</w:t>
            </w:r>
          </w:p>
        </w:tc>
        <w:tc>
          <w:tcPr>
            <w:tcW w:type="dxa" w:w="1368"/>
            <w:vAlign w:val="center"/>
            <w:shd w:fill="F3F6F8"/>
          </w:tcPr>
          <w:p>
            <w:pPr>
              <w:spacing w:after="0" w:before="0"/>
            </w:pPr>
            <w:r>
              <w:rPr>
                <w:sz w:val="15"/>
              </w:rPr>
              <w:t>Buyer process</w:t>
            </w:r>
          </w:p>
        </w:tc>
        <w:tc>
          <w:tcPr>
            <w:tcW w:type="dxa" w:w="3456"/>
            <w:vAlign w:val="center"/>
            <w:shd w:fill="F3F6F8"/>
          </w:tcPr>
          <w:p>
            <w:pPr>
              <w:spacing w:after="0" w:before="0"/>
            </w:pPr>
            <w:r>
              <w:rPr>
                <w:sz w:val="15"/>
              </w:rPr>
              <w:t>State that buyer-list calls were favorable.</w:t>
            </w:r>
          </w:p>
        </w:tc>
        <w:tc>
          <w:tcPr>
            <w:tcW w:type="dxa" w:w="3240"/>
            <w:vAlign w:val="center"/>
            <w:shd w:fill="F3F6F8"/>
          </w:tcPr>
          <w:p>
            <w:pPr>
              <w:spacing w:after="0" w:before="0"/>
            </w:pPr>
            <w:r>
              <w:rPr>
                <w:sz w:val="15"/>
              </w:rPr>
              <w:t>Private buyer reactions are not publishable.</w:t>
            </w:r>
          </w:p>
        </w:tc>
      </w:tr>
      <w:tr>
        <w:tc>
          <w:tcPr>
            <w:tcW w:type="dxa" w:w="864"/>
            <w:vAlign w:val="center"/>
          </w:tcPr>
          <w:p>
            <w:pPr>
              <w:spacing w:after="0" w:before="0"/>
            </w:pPr>
            <w:r>
              <w:rPr>
                <w:sz w:val="15"/>
              </w:rPr>
              <w:t>CH-09</w:t>
            </w:r>
          </w:p>
        </w:tc>
        <w:tc>
          <w:tcPr>
            <w:tcW w:type="dxa" w:w="936"/>
            <w:vAlign w:val="center"/>
          </w:tcPr>
          <w:p>
            <w:pPr>
              <w:spacing w:after="0" w:before="0"/>
            </w:pPr>
            <w:r>
              <w:rPr>
                <w:sz w:val="15"/>
              </w:rPr>
              <w:t>2026-06-22</w:t>
            </w:r>
          </w:p>
        </w:tc>
        <w:tc>
          <w:tcPr>
            <w:tcW w:type="dxa" w:w="936"/>
            <w:vAlign w:val="center"/>
          </w:tcPr>
          <w:p>
            <w:pPr>
              <w:spacing w:after="0" w:before="0"/>
            </w:pPr>
            <w:r>
              <w:rPr>
                <w:sz w:val="15"/>
              </w:rPr>
              <w:t>Withdrawn</w:t>
            </w:r>
          </w:p>
        </w:tc>
        <w:tc>
          <w:tcPr>
            <w:tcW w:type="dxa" w:w="1368"/>
            <w:vAlign w:val="center"/>
          </w:tcPr>
          <w:p>
            <w:pPr>
              <w:spacing w:after="0" w:before="0"/>
            </w:pPr>
            <w:r>
              <w:rPr>
                <w:sz w:val="15"/>
              </w:rPr>
              <w:t>Adaptive use</w:t>
            </w:r>
          </w:p>
        </w:tc>
        <w:tc>
          <w:tcPr>
            <w:tcW w:type="dxa" w:w="3456"/>
            <w:vAlign w:val="center"/>
          </w:tcPr>
          <w:p>
            <w:pPr>
              <w:spacing w:after="0" w:before="0"/>
            </w:pPr>
            <w:r>
              <w:rPr>
                <w:sz w:val="15"/>
              </w:rPr>
              <w:t>Describe conversion as turnkey and fast.</w:t>
            </w:r>
          </w:p>
        </w:tc>
        <w:tc>
          <w:tcPr>
            <w:tcW w:type="dxa" w:w="3240"/>
            <w:vAlign w:val="center"/>
          </w:tcPr>
          <w:p>
            <w:pPr>
              <w:spacing w:after="0" w:before="0"/>
            </w:pPr>
            <w:r>
              <w:rPr>
                <w:sz w:val="15"/>
              </w:rPr>
              <w:t>Withdrawn; no cost, construction, approval, or timing conclusion is supported.</w:t>
            </w:r>
          </w:p>
        </w:tc>
      </w:tr>
      <w:tr>
        <w:tc>
          <w:tcPr>
            <w:tcW w:type="dxa" w:w="864"/>
            <w:vAlign w:val="center"/>
            <w:shd w:fill="F3F6F8"/>
          </w:tcPr>
          <w:p>
            <w:pPr>
              <w:spacing w:after="0" w:before="0"/>
            </w:pPr>
            <w:r>
              <w:rPr>
                <w:sz w:val="15"/>
              </w:rPr>
              <w:t>CH-10</w:t>
            </w:r>
          </w:p>
        </w:tc>
        <w:tc>
          <w:tcPr>
            <w:tcW w:type="dxa" w:w="936"/>
            <w:vAlign w:val="center"/>
            <w:shd w:fill="F3F6F8"/>
          </w:tcPr>
          <w:p>
            <w:pPr>
              <w:spacing w:after="0" w:before="0"/>
            </w:pPr>
            <w:r>
              <w:rPr>
                <w:sz w:val="15"/>
              </w:rPr>
              <w:t>2026-06-23</w:t>
            </w:r>
          </w:p>
        </w:tc>
        <w:tc>
          <w:tcPr>
            <w:tcW w:type="dxa" w:w="936"/>
            <w:vAlign w:val="center"/>
            <w:shd w:fill="F3F6F8"/>
          </w:tcPr>
          <w:p>
            <w:pPr>
              <w:spacing w:after="0" w:before="0"/>
            </w:pPr>
            <w:r>
              <w:rPr>
                <w:sz w:val="15"/>
              </w:rPr>
              <w:t>Apply</w:t>
            </w:r>
          </w:p>
        </w:tc>
        <w:tc>
          <w:tcPr>
            <w:tcW w:type="dxa" w:w="1368"/>
            <w:vAlign w:val="center"/>
            <w:shd w:fill="F3F6F8"/>
          </w:tcPr>
          <w:p>
            <w:pPr>
              <w:spacing w:after="0" w:before="0"/>
            </w:pPr>
            <w:r>
              <w:rPr>
                <w:sz w:val="15"/>
              </w:rPr>
              <w:t>Closing assumption</w:t>
            </w:r>
          </w:p>
        </w:tc>
        <w:tc>
          <w:tcPr>
            <w:tcW w:type="dxa" w:w="3456"/>
            <w:vAlign w:val="center"/>
            <w:shd w:fill="F3F6F8"/>
          </w:tcPr>
          <w:p>
            <w:pPr>
              <w:spacing w:after="0" w:before="0"/>
            </w:pPr>
            <w:r>
              <w:rPr>
                <w:sz w:val="15"/>
              </w:rPr>
              <w:t>State 15 October 2026 as the assumed closing date and relate it accurately to the lease expiration.</w:t>
            </w:r>
          </w:p>
        </w:tc>
        <w:tc>
          <w:tcPr>
            <w:tcW w:type="dxa" w:w="3240"/>
            <w:vAlign w:val="center"/>
            <w:shd w:fill="F3F6F8"/>
          </w:tcPr>
          <w:p>
            <w:pPr>
              <w:spacing w:after="0" w:before="0"/>
            </w:pPr>
            <w:r>
              <w:rPr>
                <w:sz w:val="15"/>
              </w:rPr>
              <w:t>Do not represent closing as completed or guaranteed.</w:t>
            </w:r>
          </w:p>
        </w:tc>
      </w:tr>
      <w:tr>
        <w:tc>
          <w:tcPr>
            <w:tcW w:type="dxa" w:w="864"/>
            <w:vAlign w:val="center"/>
          </w:tcPr>
          <w:p>
            <w:pPr>
              <w:spacing w:after="0" w:before="0"/>
            </w:pPr>
            <w:r>
              <w:rPr>
                <w:sz w:val="15"/>
              </w:rPr>
              <w:t>CH-11</w:t>
            </w:r>
          </w:p>
        </w:tc>
        <w:tc>
          <w:tcPr>
            <w:tcW w:type="dxa" w:w="936"/>
            <w:vAlign w:val="center"/>
          </w:tcPr>
          <w:p>
            <w:pPr>
              <w:spacing w:after="0" w:before="0"/>
            </w:pPr>
            <w:r>
              <w:rPr>
                <w:sz w:val="15"/>
              </w:rPr>
              <w:t>2026-06-24</w:t>
            </w:r>
          </w:p>
        </w:tc>
        <w:tc>
          <w:tcPr>
            <w:tcW w:type="dxa" w:w="936"/>
            <w:vAlign w:val="center"/>
          </w:tcPr>
          <w:p>
            <w:pPr>
              <w:spacing w:after="0" w:before="0"/>
            </w:pPr>
            <w:r>
              <w:rPr>
                <w:sz w:val="15"/>
              </w:rPr>
              <w:t>Apply</w:t>
            </w:r>
          </w:p>
        </w:tc>
        <w:tc>
          <w:tcPr>
            <w:tcW w:type="dxa" w:w="1368"/>
            <w:vAlign w:val="center"/>
          </w:tcPr>
          <w:p>
            <w:pPr>
              <w:spacing w:after="0" w:before="0"/>
            </w:pPr>
            <w:r>
              <w:rPr>
                <w:sz w:val="15"/>
              </w:rPr>
              <w:t>Clearance note</w:t>
            </w:r>
          </w:p>
        </w:tc>
        <w:tc>
          <w:tcPr>
            <w:tcW w:type="dxa" w:w="3456"/>
            <w:vAlign w:val="center"/>
          </w:tcPr>
          <w:p>
            <w:pPr>
              <w:spacing w:after="0" w:before="0"/>
            </w:pPr>
            <w:r>
              <w:rPr>
                <w:sz w:val="15"/>
              </w:rPr>
              <w:t>Place note on its own final page with approved as-of date and bounded confirmation.</w:t>
            </w:r>
          </w:p>
        </w:tc>
        <w:tc>
          <w:tcPr>
            <w:tcW w:type="dxa" w:w="3240"/>
            <w:vAlign w:val="center"/>
          </w:tcPr>
          <w:p>
            <w:pPr>
              <w:spacing w:after="0" w:before="0"/>
            </w:pPr>
            <w:r>
              <w:rPr>
                <w:sz w:val="15"/>
              </w:rPr>
              <w:t>Exact note heading is set in Release Instruction.</w:t>
            </w:r>
          </w:p>
        </w:tc>
      </w:tr>
    </w:tbl>
    <w:p>
      <w:pPr>
        <w:spacing w:after="20"/>
      </w:pPr>
    </w:p>
    <w:p>
      <w:pPr>
        <w:pStyle w:val="Heading1"/>
        <w:spacing w:before="220" w:after="80"/>
      </w:pPr>
      <w:r>
        <w:t>Record Close</w:t>
      </w:r>
    </w:p>
    <w:p>
      <w:pPr>
        <w:spacing w:after="100"/>
      </w:pPr>
      <w:r>
        <w:t>No additional authority position, tenant commitment, comparable record, market statistic, valuation conclusion, buyer reaction, construction estimate, or conversion schedule is supplied. Use the reconciled current state of this packet for clearance.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885"/>
        <w:sz w:val="14"/>
      </w:rPr>
      <w:t>Wexmoor Media narrative clearance packet | Internal working record | Exported 18 Sep 2026, 16:40 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8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