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2"/>
        </w:rPr>
        <w:t>Junipergate Media — Approved Cancellation Scenarios</w:t>
      </w:r>
    </w:p>
    <w:p>
      <w:pPr>
        <w:jc w:val="center"/>
      </w:pPr>
      <w:r>
        <w:t>Issued for reimbursement reconciliation | 18 March 2026</w:t>
      </w:r>
    </w:p>
    <w:p>
      <w:r>
        <w:t>These comparison cases are approved assumptions for the Junipergate Media claim. Unless a row is named below, retain the actual-facts treatment from the detail register and the applicable state policy.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Affected detail key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Assumption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Scope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Baseline — Actual facts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All unique keys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Use the detail register, operative Notes exceptions, frozen rate snapshot, and applicable Illinois or Indiana policy.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Policy-compliant decision case.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Alternative A — Deployment log not established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JG-IL-103 / Illinois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Assume the 18:00 deployment log is not established. Treat its 18:07 cancellation as before deployment under the Illinois policy.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Only JG-IL-103 changes; all other records remain at baseline.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7"/>
              </w:rPr>
              <w:t>Alternative B — Indiana late-cancel window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JG-IN-205 / Indiana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Assume the cancellation was within two hours before the scheduled 18:00 deployment. Apply the Indiana pre-deployment late-cancel treatment.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7"/>
              </w:rPr>
              <w:t>Only JG-IN-205 changes; all other records remain at baseline.</w:t>
            </w:r>
          </w:p>
        </w:tc>
      </w:tr>
    </w:tbl>
    <w:p>
      <w:r>
        <w:t>Control note: Alternative A changes the near-deployment detail only because it expressly changes the deployment evidence. Alternative B does not change JG-IL-103.</w:t>
      </w:r>
    </w:p>
    <w:p>
      <w:r>
        <w:t>Prepared for Hartsmere Trading Company government oversight review.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