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2546F"/>
          <w:sz w:val="52"/>
        </w:rPr>
        <w:t>CAVENDISH</w:t>
      </w:r>
      <w:r>
        <w:rPr>
          <w:b/>
          <w:color w:val="566875"/>
          <w:sz w:val="28"/>
        </w:rPr>
        <w:t xml:space="preserve">  |  HOUSING TRUST</w:t>
      </w:r>
    </w:p>
    <w:p>
      <w:pPr>
        <w:spacing w:after="80"/>
      </w:pPr>
      <w:r>
        <w:rPr>
          <w:b/>
          <w:color w:val="183A56"/>
          <w:sz w:val="44"/>
        </w:rPr>
        <w:t>Handler briefing pack</w:t>
      </w:r>
    </w:p>
    <w:p>
      <w:r>
        <w:t>For Efua Oyelaran, Gerhard Gauthier, Mariam Bhandari, Joaquin Karlsson, Milena Navarro and eight fellow contact-centre handlers.</w:t>
      </w:r>
    </w:p>
    <w:tbl>
      <w:tblPr>
        <w:tblW w:type="auto" w:w="0"/>
        <w:jc w:val="center"/>
        <w:tblLook w:firstColumn="1" w:firstRow="1" w:lastColumn="0" w:lastRow="0" w:noHBand="0" w:noVBand="1" w:val="04A0"/>
        <w:tblBorders>
          <w:top w:val="single" w:sz="10" w:color="B8CBD8"/>
          <w:left w:val="single" w:sz="10" w:color="B8CBD8"/>
          <w:bottom w:val="single" w:sz="10" w:color="B8CBD8"/>
          <w:right w:val="single" w:sz="10" w:color="B8CBD8"/>
          <w:insideH w:val="single" w:sz="10" w:color="B8CBD8"/>
          <w:insideV w:val="single" w:sz="10" w:color="B8CBD8"/>
        </w:tblBorders>
      </w:tblPr>
      <w:tblGrid>
        <w:gridCol w:w="5328"/>
        <w:gridCol w:w="5328"/>
      </w:tblGrid>
      <w:tr>
        <w:tc>
          <w:tcPr>
            <w:tcW w:type="dxa" w:w="5328"/>
            <w:vAlign w:val="center"/>
          </w:tcPr>
          <w:p>
            <w:pPr>
              <w:spacing w:after="0"/>
            </w:pPr>
            <w:r/>
            <w:r>
              <w:rPr>
                <w:b/>
                <w:color w:val="183A56"/>
                <w:sz w:val="18"/>
              </w:rPr>
              <w:t>COVERAGE HORIZON</w:t>
              <w:br/>
              <w:t>January through the following April</w:t>
              <w:br/>
              <w:t>Compare with the current period (information in force before the January return).</w:t>
            </w:r>
          </w:p>
        </w:tc>
        <w:tc>
          <w:tcPr>
            <w:tcW w:type="dxa" w:w="5328"/>
            <w:vAlign w:val="center"/>
          </w:tcPr>
          <w:p>
            <w:pPr>
              <w:spacing w:after="0"/>
            </w:pPr>
            <w:r/>
            <w:r>
              <w:rPr>
                <w:b/>
                <w:color w:val="183A56"/>
                <w:sz w:val="18"/>
              </w:rPr>
              <w:t>USE THIS PACK TO</w:t>
              <w:br/>
              <w:t>Explain published position • qualify what is pending • route account or specialist questions.</w:t>
              <w:br/>
              <w:t>Do not promise a rate, date, payment or outcome unless confirmed.</w:t>
            </w:r>
          </w:p>
        </w:tc>
      </w:tr>
    </w:tbl>
    <w:p>
      <w:pPr>
        <w:pStyle w:val="Heading1"/>
        <w:spacing w:before="80" w:after="60"/>
      </w:pPr>
      <w:r>
        <w:rPr>
          <w:color w:val="183A56"/>
        </w:rPr>
        <w:t>At a glance</w:t>
      </w:r>
    </w:p>
    <w:p>
      <w:pPr>
        <w:pStyle w:val="ListBullet"/>
        <w:spacing w:after="20"/>
        <w:ind w:left="259"/>
      </w:pPr>
      <w:r>
        <w:rPr>
          <w:sz w:val="18"/>
        </w:rPr>
        <w:t>Rent, service charges and support funds do not share one automatic annual cycle. A decision, its effective date and resident-facing implementation may be different events.</w:t>
      </w:r>
    </w:p>
    <w:p>
      <w:pPr>
        <w:pStyle w:val="ListBullet"/>
        <w:spacing w:after="20"/>
        <w:ind w:left="259"/>
      </w:pPr>
      <w:r>
        <w:rPr>
          <w:sz w:val="18"/>
        </w:rPr>
        <w:t>Status is explicit: CONFIRMED = usable as fact; PROPOSED / CONSULTED-ON = not in force; UNRESOLVED TIMING = subject or decision may exist, but commencement or implementation is not reliable.</w:t>
      </w:r>
    </w:p>
    <w:p>
      <w:pPr>
        <w:pStyle w:val="ListBullet"/>
        <w:spacing w:after="20"/>
        <w:ind w:left="259"/>
      </w:pPr>
      <w:r>
        <w:rPr>
          <w:sz w:val="18"/>
        </w:rPr>
        <w:t>When sources conflict, record the conflict, use the narrower safe wording, and refer for confirmation. A publication date is not automatically an operative date.</w:t>
      </w:r>
    </w:p>
    <w:p>
      <w:pPr>
        <w:pStyle w:val="Heading2"/>
        <w:spacing w:before="80" w:after="60"/>
      </w:pPr>
      <w:r>
        <w:rPr>
          <w:color w:val="183A56"/>
        </w:rPr>
        <w:t>Confidence key</w:t>
      </w:r>
    </w:p>
    <w:tbl>
      <w:tblPr>
        <w:tblW w:type="auto" w:w="0"/>
        <w:tblLook w:firstColumn="1" w:firstRow="1" w:lastColumn="0" w:lastRow="0" w:noHBand="0" w:noVBand="1" w:val="04A0"/>
        <w:tblBorders>
          <w:top w:val="single" w:sz="6" w:color="D9E2EA"/>
          <w:left w:val="single" w:sz="6" w:color="D9E2EA"/>
          <w:bottom w:val="single" w:sz="6" w:color="D9E2EA"/>
          <w:right w:val="single" w:sz="6" w:color="D9E2EA"/>
          <w:insideH w:val="single" w:sz="6" w:color="D9E2EA"/>
          <w:insideV w:val="single" w:sz="6" w:color="D9E2EA"/>
        </w:tblBorders>
      </w:tblPr>
      <w:tblGrid>
        <w:gridCol w:w="3552"/>
        <w:gridCol w:w="3552"/>
        <w:gridCol w:w="3552"/>
      </w:tblGrid>
      <w:tr>
        <w:tc>
          <w:tcPr>
            <w:tcW w:type="dxa" w:w="3552"/>
            <w:vAlign w:val="center"/>
            <w:shd w:fill="1B6B73"/>
          </w:tcPr>
          <w:p>
            <w:pPr>
              <w:spacing w:after="0"/>
            </w:pPr>
            <w:r/>
            <w:r>
              <w:rPr>
                <w:b/>
                <w:color w:val="FFFFFF"/>
                <w:sz w:val="17"/>
              </w:rPr>
              <w:t>HIGH</w:t>
            </w:r>
          </w:p>
        </w:tc>
        <w:tc>
          <w:tcPr>
            <w:tcW w:type="dxa" w:w="3552"/>
            <w:vAlign w:val="center"/>
            <w:shd w:fill="B7791F"/>
          </w:tcPr>
          <w:p>
            <w:pPr>
              <w:spacing w:after="0"/>
            </w:pPr>
            <w:r/>
            <w:r>
              <w:rPr>
                <w:b/>
                <w:color w:val="FFFFFF"/>
                <w:sz w:val="17"/>
              </w:rPr>
              <w:t>MEDIUM</w:t>
            </w:r>
          </w:p>
        </w:tc>
        <w:tc>
          <w:tcPr>
            <w:tcW w:type="dxa" w:w="3552"/>
            <w:vAlign w:val="center"/>
            <w:shd w:fill="9B2C2C"/>
          </w:tcPr>
          <w:p>
            <w:pPr>
              <w:spacing w:after="0"/>
            </w:pPr>
            <w:r/>
            <w:r>
              <w:rPr>
                <w:b/>
                <w:color w:val="FFFFFF"/>
                <w:sz w:val="17"/>
              </w:rPr>
              <w:t>LOW / PENDING</w:t>
            </w:r>
          </w:p>
        </w:tc>
      </w:tr>
    </w:tbl>
    <w:p>
      <w:r>
        <w:t>HIGH: primary determination/approved Trust record is consistent.  MEDIUM: attributed guidance or operational notice, useful but needs scope check.  LOW / PENDING: consultation, conflicting dates or missing confirmation; never state as settled.</w:t>
      </w:r>
    </w:p>
    <w:p>
      <w:pPr>
        <w:pStyle w:val="Heading2"/>
        <w:spacing w:before="80" w:after="60"/>
      </w:pPr>
      <w:r>
        <w:rPr>
          <w:color w:val="183A56"/>
        </w:rPr>
        <w:t>Scope guard</w:t>
      </w:r>
    </w:p>
    <w:p>
      <w:r>
        <w:t>This is an information aid, not a benefits, legal, rent-officer or complaint-investigation procedure. Explain the published position; do not decide eligibility, interpret rights, amend an account, or investigate a complaint. Escalation directions are on page 4.</w:t>
      </w:r>
    </w:p>
    <w:p>
      <w:r>
        <w:br w:type="page"/>
      </w:r>
    </w:p>
    <w:p>
      <w:pPr>
        <w:pStyle w:val="Heading1"/>
        <w:spacing w:before="80" w:after="60"/>
      </w:pPr>
      <w:r>
        <w:rPr>
          <w:color w:val="183A56"/>
        </w:rPr>
        <w:t>1 | Change schedule — January to April</w:t>
      </w:r>
    </w:p>
    <w:p>
      <w:r>
        <w:t>Read each row across: subject → status → timing → resident impact → handler treatment. “Basis” identifies the source type available to the editor; no unsupported rate or threshold is inserted.</w:t>
      </w:r>
    </w:p>
    <w:tbl>
      <w:tblPr>
        <w:tblW w:type="auto" w:w="0"/>
        <w:jc w:val="center"/>
        <w:tblLayout w:type="fixed"/>
        <w:tblLook w:firstColumn="1" w:firstRow="1" w:lastColumn="0" w:lastRow="0" w:noHBand="0" w:noVBand="1" w:val="04A0"/>
        <w:tblBorders>
          <w:top w:val="single" w:sz="6" w:color="D9E2EA"/>
          <w:left w:val="single" w:sz="6" w:color="D9E2EA"/>
          <w:bottom w:val="single" w:sz="6" w:color="D9E2EA"/>
          <w:right w:val="single" w:sz="6" w:color="D9E2EA"/>
          <w:insideH w:val="single" w:sz="6" w:color="D9E2EA"/>
          <w:insideV w:val="single" w:sz="6" w:color="D9E2EA"/>
        </w:tblBorders>
      </w:tblPr>
      <w:tblGrid>
        <w:gridCol w:w="2131"/>
        <w:gridCol w:w="2131"/>
        <w:gridCol w:w="2131"/>
        <w:gridCol w:w="2131"/>
        <w:gridCol w:w="2131"/>
      </w:tblGrid>
      <w:tr>
        <w:tc>
          <w:tcPr>
            <w:tcW w:type="dxa" w:w="1296"/>
            <w:vAlign w:val="center"/>
            <w:shd w:fill="183A56"/>
          </w:tcPr>
          <w:p>
            <w:pPr>
              <w:spacing w:after="0"/>
            </w:pPr>
            <w:r/>
            <w:r>
              <w:rPr>
                <w:b/>
                <w:color w:val="FFFFFF"/>
                <w:sz w:val="15"/>
              </w:rPr>
              <w:t>ID / subject</w:t>
            </w:r>
          </w:p>
        </w:tc>
        <w:tc>
          <w:tcPr>
            <w:tcW w:type="dxa" w:w="1656"/>
            <w:vAlign w:val="center"/>
            <w:shd w:fill="183A56"/>
          </w:tcPr>
          <w:p>
            <w:pPr>
              <w:spacing w:after="0"/>
            </w:pPr>
            <w:r/>
            <w:r>
              <w:rPr>
                <w:b/>
                <w:color w:val="FFFFFF"/>
                <w:sz w:val="15"/>
              </w:rPr>
              <w:t>Status + confidence</w:t>
            </w:r>
          </w:p>
        </w:tc>
        <w:tc>
          <w:tcPr>
            <w:tcW w:type="dxa" w:w="2232"/>
            <w:vAlign w:val="center"/>
            <w:shd w:fill="183A56"/>
          </w:tcPr>
          <w:p>
            <w:pPr>
              <w:spacing w:after="0"/>
            </w:pPr>
            <w:r/>
            <w:r>
              <w:rPr>
                <w:b/>
                <w:color w:val="FFFFFF"/>
                <w:sz w:val="15"/>
              </w:rPr>
              <w:t>Timing (what is known)</w:t>
            </w:r>
          </w:p>
        </w:tc>
        <w:tc>
          <w:tcPr>
            <w:tcW w:type="dxa" w:w="2232"/>
            <w:vAlign w:val="center"/>
            <w:shd w:fill="183A56"/>
          </w:tcPr>
          <w:p>
            <w:pPr>
              <w:spacing w:after="0"/>
            </w:pPr>
            <w:r/>
            <w:r>
              <w:rPr>
                <w:b/>
                <w:color w:val="FFFFFF"/>
                <w:sz w:val="15"/>
              </w:rPr>
              <w:t>Resident impact</w:t>
            </w:r>
          </w:p>
        </w:tc>
        <w:tc>
          <w:tcPr>
            <w:tcW w:type="dxa" w:w="3384"/>
            <w:vAlign w:val="center"/>
            <w:shd w:fill="183A56"/>
          </w:tcPr>
          <w:p>
            <w:pPr>
              <w:spacing w:after="0"/>
            </w:pPr>
            <w:r/>
            <w:r>
              <w:rPr>
                <w:b/>
                <w:color w:val="FFFFFF"/>
                <w:sz w:val="15"/>
              </w:rPr>
              <w:t>Handler treatment / basis</w:t>
            </w:r>
          </w:p>
        </w:tc>
      </w:tr>
      <w:tr>
        <w:tc>
          <w:tcPr>
            <w:tcW w:type="dxa" w:w="1296"/>
            <w:vAlign w:val="center"/>
            <w:shd w:fill="EAF2F6"/>
          </w:tcPr>
          <w:p>
            <w:pPr>
              <w:spacing w:after="0"/>
            </w:pPr>
            <w:r/>
            <w:r>
              <w:rPr>
                <w:b w:val="0"/>
                <w:sz w:val="14"/>
              </w:rPr>
              <w:t>R1  Rent review / annual formula</w:t>
            </w:r>
          </w:p>
        </w:tc>
        <w:tc>
          <w:tcPr>
            <w:tcW w:type="dxa" w:w="1656"/>
            <w:vAlign w:val="center"/>
            <w:shd w:fill="E8F3F1"/>
          </w:tcPr>
          <w:p>
            <w:pPr>
              <w:spacing w:after="0"/>
            </w:pPr>
            <w:r/>
            <w:r>
              <w:rPr>
                <w:b w:val="0"/>
                <w:sz w:val="14"/>
              </w:rPr>
              <w:t>CONFIRMED  • HIGH</w:t>
            </w:r>
          </w:p>
        </w:tc>
        <w:tc>
          <w:tcPr>
            <w:tcW w:type="dxa" w:w="2232"/>
            <w:vAlign w:val="center"/>
          </w:tcPr>
          <w:p>
            <w:pPr>
              <w:spacing w:after="0"/>
            </w:pPr>
            <w:r/>
            <w:r>
              <w:rPr>
                <w:b w:val="0"/>
                <w:sz w:val="14"/>
              </w:rPr>
              <w:t>Trust decision is recorded for the January–April period; exact effective date and amount are not reproduced here. Announcement, effective date and billing implementation must be checked separately.</w:t>
            </w:r>
          </w:p>
        </w:tc>
        <w:tc>
          <w:tcPr>
            <w:tcW w:type="dxa" w:w="2232"/>
            <w:vAlign w:val="center"/>
          </w:tcPr>
          <w:p>
            <w:pPr>
              <w:spacing w:after="0"/>
            </w:pPr>
            <w:r/>
            <w:r>
              <w:rPr>
                <w:b w:val="0"/>
                <w:sz w:val="14"/>
              </w:rPr>
              <w:t>A rent amount may differ from the current period when the Trust’s notice takes effect; no figure is promised in this pack.</w:t>
            </w:r>
          </w:p>
        </w:tc>
        <w:tc>
          <w:tcPr>
            <w:tcW w:type="dxa" w:w="3384"/>
            <w:vAlign w:val="center"/>
          </w:tcPr>
          <w:p>
            <w:pPr>
              <w:spacing w:after="0"/>
            </w:pPr>
            <w:r/>
            <w:r>
              <w:rPr>
                <w:b w:val="0"/>
                <w:sz w:val="14"/>
              </w:rPr>
              <w:t>Say: “A rent review is confirmed, but I must check the notice for your tenancy’s effective date and amount.” Basis: approved Trust/board record; confirm account application with Rent Accounts.</w:t>
            </w:r>
          </w:p>
        </w:tc>
      </w:tr>
      <w:tr>
        <w:tc>
          <w:tcPr>
            <w:tcW w:type="dxa" w:w="1296"/>
            <w:vAlign w:val="center"/>
            <w:shd w:fill="F6F8FA"/>
          </w:tcPr>
          <w:p>
            <w:pPr>
              <w:spacing w:after="0"/>
            </w:pPr>
            <w:r/>
            <w:r>
              <w:rPr>
                <w:b w:val="0"/>
                <w:sz w:val="14"/>
              </w:rPr>
              <w:t>R2  Rent policy consultation</w:t>
            </w:r>
          </w:p>
        </w:tc>
        <w:tc>
          <w:tcPr>
            <w:tcW w:type="dxa" w:w="1656"/>
            <w:vAlign w:val="center"/>
            <w:shd w:fill="FFF4D6"/>
          </w:tcPr>
          <w:p>
            <w:pPr>
              <w:spacing w:after="0"/>
            </w:pPr>
            <w:r/>
            <w:r>
              <w:rPr>
                <w:b w:val="0"/>
                <w:sz w:val="14"/>
              </w:rPr>
              <w:t>PROPOSED / CONSULTED-ON  • LOW / PENDING</w:t>
            </w:r>
          </w:p>
        </w:tc>
        <w:tc>
          <w:tcPr>
            <w:tcW w:type="dxa" w:w="2232"/>
            <w:vAlign w:val="center"/>
          </w:tcPr>
          <w:p>
            <w:pPr>
              <w:spacing w:after="0"/>
            </w:pPr>
            <w:r/>
            <w:r>
              <w:rPr>
                <w:b w:val="0"/>
                <w:sz w:val="14"/>
              </w:rPr>
              <w:t>Consultation or regulator material discusses a possible rule change during the horizon; no implementation decision or date is confirmed.</w:t>
            </w:r>
          </w:p>
        </w:tc>
        <w:tc>
          <w:tcPr>
            <w:tcW w:type="dxa" w:w="2232"/>
            <w:vAlign w:val="center"/>
          </w:tcPr>
          <w:p>
            <w:pPr>
              <w:spacing w:after="0"/>
            </w:pPr>
            <w:r/>
            <w:r>
              <w:rPr>
                <w:b w:val="0"/>
                <w:sz w:val="14"/>
              </w:rPr>
              <w:t>A possible future rule is not a current entitlement or charge.</w:t>
            </w:r>
          </w:p>
        </w:tc>
        <w:tc>
          <w:tcPr>
            <w:tcW w:type="dxa" w:w="3384"/>
            <w:vAlign w:val="center"/>
          </w:tcPr>
          <w:p>
            <w:pPr>
              <w:spacing w:after="0"/>
            </w:pPr>
            <w:r/>
            <w:r>
              <w:rPr>
                <w:b w:val="0"/>
                <w:sz w:val="14"/>
              </w:rPr>
              <w:t>Say “This is being considered, not implemented.” Do not forecast a rate. Basis: regulator notice / consultation; route policy questions to Housing Policy.</w:t>
            </w:r>
          </w:p>
        </w:tc>
      </w:tr>
      <w:tr>
        <w:tc>
          <w:tcPr>
            <w:tcW w:type="dxa" w:w="1296"/>
            <w:vAlign w:val="center"/>
            <w:shd w:fill="EAF2F6"/>
          </w:tcPr>
          <w:p>
            <w:pPr>
              <w:spacing w:after="0"/>
            </w:pPr>
            <w:r/>
            <w:r>
              <w:rPr>
                <w:b w:val="0"/>
                <w:sz w:val="14"/>
              </w:rPr>
              <w:t>S1  Service-charge estimate</w:t>
            </w:r>
          </w:p>
        </w:tc>
        <w:tc>
          <w:tcPr>
            <w:tcW w:type="dxa" w:w="1656"/>
            <w:vAlign w:val="center"/>
            <w:shd w:fill="E8F3F1"/>
          </w:tcPr>
          <w:p>
            <w:pPr>
              <w:spacing w:after="0"/>
            </w:pPr>
            <w:r/>
            <w:r>
              <w:rPr>
                <w:b w:val="0"/>
                <w:sz w:val="14"/>
              </w:rPr>
              <w:t>CONFIRMED  • HIGH</w:t>
            </w:r>
          </w:p>
        </w:tc>
        <w:tc>
          <w:tcPr>
            <w:tcW w:type="dxa" w:w="2232"/>
            <w:vAlign w:val="center"/>
          </w:tcPr>
          <w:p>
            <w:pPr>
              <w:spacing w:after="0"/>
            </w:pPr>
            <w:r/>
            <w:r>
              <w:rPr>
                <w:b w:val="0"/>
                <w:sz w:val="14"/>
              </w:rPr>
              <w:t>Annual estimate is issued on its service schedule; it may be dated differently from rent. Actual-cost reconciliation, if any, follows the service-charge process.</w:t>
            </w:r>
          </w:p>
        </w:tc>
        <w:tc>
          <w:tcPr>
            <w:tcW w:type="dxa" w:w="2232"/>
            <w:vAlign w:val="center"/>
          </w:tcPr>
          <w:p>
            <w:pPr>
              <w:spacing w:after="0"/>
            </w:pPr>
            <w:r/>
            <w:r>
              <w:rPr>
                <w:b w:val="0"/>
                <w:sz w:val="14"/>
              </w:rPr>
              <w:t>The service-charge line can move while rent does not, or vice versa. It represents services, not rent.</w:t>
            </w:r>
          </w:p>
        </w:tc>
        <w:tc>
          <w:tcPr>
            <w:tcW w:type="dxa" w:w="3384"/>
            <w:vAlign w:val="center"/>
          </w:tcPr>
          <w:p>
            <w:pPr>
              <w:spacing w:after="0"/>
            </w:pPr>
            <w:r/>
            <w:r>
              <w:rPr>
                <w:b w:val="0"/>
                <w:sz w:val="14"/>
              </w:rPr>
              <w:t>Say: “Your service charge pays for listed services and follows its own estimate/reconciliation.” Basis: approved service-charge budget/Trust notice; account-specific queries to Service Charge Team.</w:t>
            </w:r>
          </w:p>
        </w:tc>
      </w:tr>
      <w:tr>
        <w:tc>
          <w:tcPr>
            <w:tcW w:type="dxa" w:w="1296"/>
            <w:vAlign w:val="center"/>
            <w:shd w:fill="F6F8FA"/>
          </w:tcPr>
          <w:p>
            <w:pPr>
              <w:spacing w:after="0"/>
            </w:pPr>
            <w:r/>
            <w:r>
              <w:rPr>
                <w:b w:val="0"/>
                <w:sz w:val="14"/>
              </w:rPr>
              <w:t>S2  Service cost / energy pass-through</w:t>
            </w:r>
          </w:p>
        </w:tc>
        <w:tc>
          <w:tcPr>
            <w:tcW w:type="dxa" w:w="1656"/>
            <w:vAlign w:val="center"/>
            <w:shd w:fill="FCE8E6"/>
          </w:tcPr>
          <w:p>
            <w:pPr>
              <w:spacing w:after="0"/>
            </w:pPr>
            <w:r/>
            <w:r>
              <w:rPr>
                <w:b w:val="0"/>
                <w:sz w:val="14"/>
              </w:rPr>
              <w:t>UNRESOLVED TIMING  • MEDIUM</w:t>
            </w:r>
          </w:p>
        </w:tc>
        <w:tc>
          <w:tcPr>
            <w:tcW w:type="dxa" w:w="2232"/>
            <w:vAlign w:val="center"/>
          </w:tcPr>
          <w:p>
            <w:pPr>
              <w:spacing w:after="0"/>
            </w:pPr>
            <w:r/>
            <w:r>
              <w:rPr>
                <w:b w:val="0"/>
                <w:sz w:val="14"/>
              </w:rPr>
              <w:t>Provider cost information and Trust review are available, but commencement/implementation date is not settled; do not select the earliest date seen.</w:t>
            </w:r>
          </w:p>
        </w:tc>
        <w:tc>
          <w:tcPr>
            <w:tcW w:type="dxa" w:w="2232"/>
            <w:vAlign w:val="center"/>
          </w:tcPr>
          <w:p>
            <w:pPr>
              <w:spacing w:after="0"/>
            </w:pPr>
            <w:r/>
            <w:r>
              <w:rPr>
                <w:b w:val="0"/>
                <w:sz w:val="14"/>
              </w:rPr>
              <w:t>Any later adjustment may be shown on a service-charge statement, subject to confirmation and notice.</w:t>
            </w:r>
          </w:p>
        </w:tc>
        <w:tc>
          <w:tcPr>
            <w:tcW w:type="dxa" w:w="3384"/>
            <w:vAlign w:val="center"/>
          </w:tcPr>
          <w:p>
            <w:pPr>
              <w:spacing w:after="0"/>
            </w:pPr>
            <w:r/>
            <w:r>
              <w:rPr>
                <w:b w:val="0"/>
                <w:sz w:val="14"/>
              </w:rPr>
              <w:t>Say “We are checking the effective date; no change is confirmed from this notice alone.” Basis: provider notice + Trust review; escalate timing conflict to Service Charge Team.</w:t>
            </w:r>
          </w:p>
        </w:tc>
      </w:tr>
      <w:tr>
        <w:tc>
          <w:tcPr>
            <w:tcW w:type="dxa" w:w="1296"/>
            <w:vAlign w:val="center"/>
            <w:shd w:fill="EAF2F6"/>
          </w:tcPr>
          <w:p>
            <w:pPr>
              <w:spacing w:after="0"/>
            </w:pPr>
            <w:r/>
            <w:r>
              <w:rPr>
                <w:b w:val="0"/>
                <w:sz w:val="14"/>
              </w:rPr>
              <w:t>F1  Support-fund assessment service</w:t>
            </w:r>
          </w:p>
        </w:tc>
        <w:tc>
          <w:tcPr>
            <w:tcW w:type="dxa" w:w="1656"/>
            <w:vAlign w:val="center"/>
            <w:shd w:fill="FFF4D6"/>
          </w:tcPr>
          <w:p>
            <w:pPr>
              <w:spacing w:after="0"/>
            </w:pPr>
            <w:r/>
            <w:r>
              <w:rPr>
                <w:b w:val="0"/>
                <w:sz w:val="14"/>
              </w:rPr>
              <w:t>PROPOSED / CONSULTED-ON  • LOW / PENDING</w:t>
            </w:r>
          </w:p>
        </w:tc>
        <w:tc>
          <w:tcPr>
            <w:tcW w:type="dxa" w:w="2232"/>
            <w:vAlign w:val="center"/>
          </w:tcPr>
          <w:p>
            <w:pPr>
              <w:spacing w:after="0"/>
            </w:pPr>
            <w:r/>
            <w:r>
              <w:rPr>
                <w:b w:val="0"/>
                <w:sz w:val="14"/>
              </w:rPr>
              <w:t>Drakemoor Laboratories notice describes a possible assessment-service/process change; Trust adoption and start date are not confirmed.</w:t>
            </w:r>
          </w:p>
        </w:tc>
        <w:tc>
          <w:tcPr>
            <w:tcW w:type="dxa" w:w="2232"/>
            <w:vAlign w:val="center"/>
          </w:tcPr>
          <w:p>
            <w:pPr>
              <w:spacing w:after="0"/>
            </w:pPr>
            <w:r/>
            <w:r>
              <w:rPr>
                <w:b w:val="0"/>
                <w:sz w:val="14"/>
              </w:rPr>
              <w:t>A process change would not itself guarantee an award or change eligibility.</w:t>
            </w:r>
          </w:p>
        </w:tc>
        <w:tc>
          <w:tcPr>
            <w:tcW w:type="dxa" w:w="3384"/>
            <w:vAlign w:val="center"/>
          </w:tcPr>
          <w:p>
            <w:pPr>
              <w:spacing w:after="0"/>
            </w:pPr>
            <w:r/>
            <w:r>
              <w:rPr>
                <w:b w:val="0"/>
                <w:sz w:val="14"/>
              </w:rPr>
              <w:t>Say “Assessment is still subject to the published scheme and decision.” Basis: Drakemoor notice (administrator evidence, not Trust authority); route assessment questions to Welfare/Support Fund Team.</w:t>
            </w:r>
          </w:p>
        </w:tc>
      </w:tr>
      <w:tr>
        <w:tc>
          <w:tcPr>
            <w:tcW w:type="dxa" w:w="1296"/>
            <w:vAlign w:val="center"/>
            <w:shd w:fill="F6F8FA"/>
          </w:tcPr>
          <w:p>
            <w:pPr>
              <w:spacing w:after="0"/>
            </w:pPr>
            <w:r/>
            <w:r>
              <w:rPr>
                <w:b w:val="0"/>
                <w:sz w:val="14"/>
              </w:rPr>
              <w:t>F2  Support-fund allocation / availability</w:t>
            </w:r>
          </w:p>
        </w:tc>
        <w:tc>
          <w:tcPr>
            <w:tcW w:type="dxa" w:w="1656"/>
            <w:vAlign w:val="center"/>
            <w:shd w:fill="FCE8E6"/>
          </w:tcPr>
          <w:p>
            <w:pPr>
              <w:spacing w:after="0"/>
            </w:pPr>
            <w:r/>
            <w:r>
              <w:rPr>
                <w:b w:val="0"/>
                <w:sz w:val="14"/>
              </w:rPr>
              <w:t>UNRESOLVED TIMING  • LOW / PENDING</w:t>
            </w:r>
          </w:p>
        </w:tc>
        <w:tc>
          <w:tcPr>
            <w:tcW w:type="dxa" w:w="2232"/>
            <w:vAlign w:val="center"/>
          </w:tcPr>
          <w:p>
            <w:pPr>
              <w:spacing w:after="0"/>
            </w:pPr>
            <w:r/>
            <w:r>
              <w:rPr>
                <w:b w:val="0"/>
                <w:sz w:val="14"/>
              </w:rPr>
              <w:t>Council or scheme guidance indicates a funding window may change between January and April; allocation, threshold and start date await confirmation.</w:t>
            </w:r>
          </w:p>
        </w:tc>
        <w:tc>
          <w:tcPr>
            <w:tcW w:type="dxa" w:w="2232"/>
            <w:vAlign w:val="center"/>
          </w:tcPr>
          <w:p>
            <w:pPr>
              <w:spacing w:after="0"/>
            </w:pPr>
            <w:r/>
            <w:r>
              <w:rPr>
                <w:b w:val="0"/>
                <w:sz w:val="14"/>
              </w:rPr>
              <w:t>A fund being open or replenished does not mean every resident receives payment.</w:t>
            </w:r>
          </w:p>
        </w:tc>
        <w:tc>
          <w:tcPr>
            <w:tcW w:type="dxa" w:w="3384"/>
            <w:vAlign w:val="center"/>
          </w:tcPr>
          <w:p>
            <w:pPr>
              <w:spacing w:after="0"/>
            </w:pPr>
            <w:r/>
            <w:r>
              <w:rPr>
                <w:b w:val="0"/>
                <w:sz w:val="14"/>
              </w:rPr>
              <w:t>Say “We can record your question and refer it for an eligibility decision; I cannot promise funding.” Basis: council web guidance / scheme guidance; Welfare/Support Fund Team.</w:t>
            </w:r>
          </w:p>
        </w:tc>
      </w:tr>
      <w:tr>
        <w:tc>
          <w:tcPr>
            <w:tcW w:type="dxa" w:w="1296"/>
            <w:vAlign w:val="center"/>
            <w:shd w:fill="EAF2F6"/>
          </w:tcPr>
          <w:p>
            <w:pPr>
              <w:spacing w:after="0"/>
            </w:pPr>
            <w:r/>
            <w:r>
              <w:rPr>
                <w:b w:val="0"/>
                <w:sz w:val="14"/>
              </w:rPr>
              <w:t>F3  External platform notice</w:t>
            </w:r>
          </w:p>
        </w:tc>
        <w:tc>
          <w:tcPr>
            <w:tcW w:type="dxa" w:w="1656"/>
            <w:vAlign w:val="center"/>
            <w:shd w:fill="E8F3F1"/>
          </w:tcPr>
          <w:p>
            <w:pPr>
              <w:spacing w:after="0"/>
            </w:pPr>
            <w:r/>
            <w:r>
              <w:rPr>
                <w:b w:val="0"/>
                <w:sz w:val="14"/>
              </w:rPr>
              <w:t>CONFIRMED AS NOTICE ONLY  • MEDIUM</w:t>
            </w:r>
          </w:p>
        </w:tc>
        <w:tc>
          <w:tcPr>
            <w:tcW w:type="dxa" w:w="2232"/>
            <w:vAlign w:val="center"/>
          </w:tcPr>
          <w:p>
            <w:pPr>
              <w:spacing w:after="0"/>
            </w:pPr>
            <w:r/>
            <w:r>
              <w:rPr>
                <w:b w:val="0"/>
                <w:sz w:val="14"/>
              </w:rPr>
              <w:t>Bellwether Instruments may change contact-centre platform wording or display; no Trust resident charge or entitlement follows automatically.</w:t>
            </w:r>
          </w:p>
        </w:tc>
        <w:tc>
          <w:tcPr>
            <w:tcW w:type="dxa" w:w="2232"/>
            <w:vAlign w:val="center"/>
          </w:tcPr>
          <w:p>
            <w:pPr>
              <w:spacing w:after="0"/>
            </w:pPr>
            <w:r/>
            <w:r>
              <w:rPr>
                <w:b w:val="0"/>
                <w:sz w:val="14"/>
              </w:rPr>
              <w:t>A screen or message may look different; it does not change the resident’s rent or support outcome by itself.</w:t>
            </w:r>
          </w:p>
        </w:tc>
        <w:tc>
          <w:tcPr>
            <w:tcW w:type="dxa" w:w="3384"/>
            <w:vAlign w:val="center"/>
          </w:tcPr>
          <w:p>
            <w:pPr>
              <w:spacing w:after="0"/>
            </w:pPr>
            <w:r/>
            <w:r>
              <w:rPr>
                <w:b w:val="0"/>
                <w:sz w:val="14"/>
              </w:rPr>
              <w:t>Treat as supporting evidence only. Follow current approved Trust wording and report a mismatch to the contact-centre lead; do not invent a click path. Basis: Bellwether notice.</w:t>
            </w:r>
          </w:p>
        </w:tc>
      </w:tr>
    </w:tbl>
    <w:p>
      <w:r>
        <w:t>Status labels are operational: “confirmed” means the underlying decision is usable as fact, not that every account has already been updated. “Notice only” is not a resident outcome.</w:t>
      </w:r>
    </w:p>
    <w:p>
      <w:r>
        <w:br w:type="page"/>
      </w:r>
    </w:p>
    <w:p>
      <w:pPr>
        <w:pStyle w:val="Heading1"/>
        <w:spacing w:before="80" w:after="60"/>
      </w:pPr>
      <w:r>
        <w:rPr>
          <w:color w:val="183A56"/>
        </w:rPr>
        <w:t>2 | Plain-English notes &amp; period comparison</w:t>
      </w:r>
    </w:p>
    <w:p>
      <w:pPr>
        <w:pStyle w:val="Heading2"/>
        <w:spacing w:before="80" w:after="60"/>
      </w:pPr>
      <w:r>
        <w:rPr>
          <w:color w:val="183A56"/>
        </w:rPr>
        <w:t>What to say about each topic</w:t>
      </w:r>
    </w:p>
    <w:p>
      <w:pPr>
        <w:spacing w:after="20"/>
      </w:pPr>
      <w:r>
        <w:rPr>
          <w:b/>
          <w:color w:val="12546F"/>
        </w:rPr>
        <w:t xml:space="preserve">Rent — </w:t>
      </w:r>
      <w:r>
        <w:t>Rent is the charge for the home. The confirmed review may change the amount from the effective date in the Trust notice. It is separate from service charges and does not establish support-fund eligibility. If the resident’s account differs from the general notice, stop and refer to Rent Accounts.</w:t>
      </w:r>
    </w:p>
    <w:p>
      <w:pPr>
        <w:spacing w:after="20"/>
      </w:pPr>
      <w:r>
        <w:rPr>
          <w:b/>
          <w:color w:val="12546F"/>
        </w:rPr>
        <w:t xml:space="preserve">Service charges — </w:t>
      </w:r>
      <w:r>
        <w:t>A service charge pays for specified services and is estimated or reconciled on its own timetable. A service-charge movement is not automatically a rent change. Explain the statement line and the relevant notice; do not calculate or infer a future amount when timing is unresolved.</w:t>
      </w:r>
    </w:p>
    <w:p>
      <w:pPr>
        <w:spacing w:after="20"/>
      </w:pPr>
      <w:r>
        <w:rPr>
          <w:b/>
          <w:color w:val="12546F"/>
        </w:rPr>
        <w:t xml:space="preserve">Support funds — </w:t>
      </w:r>
      <w:r>
        <w:t>A support fund is a scheme or allocation that may help eligible residents. An open window, administrator notice or assessment-process change is not a guaranteed award. Eligibility, evidence and award decisions belong to the assessment/welfare function.</w:t>
      </w:r>
    </w:p>
    <w:p>
      <w:pPr>
        <w:spacing w:after="20"/>
      </w:pPr>
      <w:r>
        <w:rPr>
          <w:b/>
          <w:color w:val="12546F"/>
        </w:rPr>
        <w:t xml:space="preserve">Timing rule — </w:t>
      </w:r>
      <w:r>
        <w:t>The familiar “one annual housing change” assumption stops applying when rent, service-charge and fund decisions have different decision, effective or implementation dates. In this horizon, R1 and S1 demonstrate separate cycles; S2 and F2 remain conditional.</w:t>
      </w:r>
    </w:p>
    <w:p>
      <w:pPr>
        <w:pStyle w:val="Heading2"/>
        <w:spacing w:before="80" w:after="60"/>
      </w:pPr>
      <w:r>
        <w:rPr>
          <w:color w:val="183A56"/>
        </w:rPr>
        <w:t>Current period → January–April comparison</w:t>
      </w:r>
    </w:p>
    <w:tbl>
      <w:tblPr>
        <w:tblW w:type="auto" w:w="0"/>
        <w:jc w:val="center"/>
        <w:tblLook w:firstColumn="1" w:firstRow="1" w:lastColumn="0" w:lastRow="0" w:noHBand="0" w:noVBand="1" w:val="04A0"/>
        <w:tblBorders>
          <w:top w:val="single" w:sz="6" w:color="D9E2EA"/>
          <w:left w:val="single" w:sz="6" w:color="D9E2EA"/>
          <w:bottom w:val="single" w:sz="6" w:color="D9E2EA"/>
          <w:right w:val="single" w:sz="6" w:color="D9E2EA"/>
          <w:insideH w:val="single" w:sz="6" w:color="D9E2EA"/>
          <w:insideV w:val="single" w:sz="6" w:color="D9E2EA"/>
        </w:tblBorders>
      </w:tblPr>
      <w:tblGrid>
        <w:gridCol w:w="2664"/>
        <w:gridCol w:w="2664"/>
        <w:gridCol w:w="2664"/>
        <w:gridCol w:w="2664"/>
      </w:tblGrid>
      <w:tr>
        <w:tc>
          <w:tcPr>
            <w:tcW w:type="dxa" w:w="2664"/>
            <w:vAlign w:val="center"/>
            <w:shd w:fill="183A56"/>
          </w:tcPr>
          <w:p>
            <w:pPr>
              <w:spacing w:after="0"/>
            </w:pPr>
            <w:r/>
            <w:r>
              <w:rPr>
                <w:b/>
                <w:color w:val="FFFFFF"/>
                <w:sz w:val="15"/>
              </w:rPr>
              <w:t>Topic</w:t>
            </w:r>
          </w:p>
        </w:tc>
        <w:tc>
          <w:tcPr>
            <w:tcW w:type="dxa" w:w="2664"/>
            <w:vAlign w:val="center"/>
            <w:shd w:fill="183A56"/>
          </w:tcPr>
          <w:p>
            <w:pPr>
              <w:spacing w:after="0"/>
            </w:pPr>
            <w:r/>
            <w:r>
              <w:rPr>
                <w:b/>
                <w:color w:val="FFFFFF"/>
                <w:sz w:val="15"/>
              </w:rPr>
              <w:t>Current period (before January return)</w:t>
            </w:r>
          </w:p>
        </w:tc>
        <w:tc>
          <w:tcPr>
            <w:tcW w:type="dxa" w:w="2664"/>
            <w:vAlign w:val="center"/>
            <w:shd w:fill="183A56"/>
          </w:tcPr>
          <w:p>
            <w:pPr>
              <w:spacing w:after="0"/>
            </w:pPr>
            <w:r/>
            <w:r>
              <w:rPr>
                <w:b/>
                <w:color w:val="FFFFFF"/>
                <w:sz w:val="15"/>
              </w:rPr>
              <w:t>January–April position</w:t>
            </w:r>
          </w:p>
        </w:tc>
        <w:tc>
          <w:tcPr>
            <w:tcW w:type="dxa" w:w="2664"/>
            <w:vAlign w:val="center"/>
            <w:shd w:fill="183A56"/>
          </w:tcPr>
          <w:p>
            <w:pPr>
              <w:spacing w:after="0"/>
            </w:pPr>
            <w:r/>
            <w:r>
              <w:rPr>
                <w:b/>
                <w:color w:val="FFFFFF"/>
                <w:sz w:val="15"/>
              </w:rPr>
              <w:t>Why it matters on a call</w:t>
            </w:r>
          </w:p>
        </w:tc>
      </w:tr>
      <w:tr>
        <w:tc>
          <w:tcPr>
            <w:tcW w:type="dxa" w:w="2664"/>
            <w:vAlign w:val="center"/>
            <w:shd w:fill="EAF2F6"/>
          </w:tcPr>
          <w:p>
            <w:pPr>
              <w:spacing w:after="0"/>
            </w:pPr>
            <w:r/>
            <w:r>
              <w:rPr>
                <w:b w:val="0"/>
                <w:sz w:val="15"/>
              </w:rPr>
              <w:t>Rent</w:t>
            </w:r>
          </w:p>
        </w:tc>
        <w:tc>
          <w:tcPr>
            <w:tcW w:type="dxa" w:w="2664"/>
            <w:vAlign w:val="center"/>
          </w:tcPr>
          <w:p>
            <w:pPr>
              <w:spacing w:after="0"/>
            </w:pPr>
            <w:r/>
            <w:r>
              <w:rPr>
                <w:b w:val="0"/>
                <w:sz w:val="15"/>
              </w:rPr>
              <w:t>Existing published rent information remains the reference until a valid Trust notice applies.</w:t>
            </w:r>
          </w:p>
        </w:tc>
        <w:tc>
          <w:tcPr>
            <w:tcW w:type="dxa" w:w="2664"/>
            <w:vAlign w:val="center"/>
          </w:tcPr>
          <w:p>
            <w:pPr>
              <w:spacing w:after="0"/>
            </w:pPr>
            <w:r/>
            <w:r>
              <w:rPr>
                <w:b w:val="0"/>
                <w:sz w:val="15"/>
              </w:rPr>
              <w:t>R1 review is confirmed; amount/effective date must come from the resident notice. R2 remains only a proposal.</w:t>
            </w:r>
          </w:p>
        </w:tc>
        <w:tc>
          <w:tcPr>
            <w:tcW w:type="dxa" w:w="2664"/>
            <w:vAlign w:val="center"/>
          </w:tcPr>
          <w:p>
            <w:pPr>
              <w:spacing w:after="0"/>
            </w:pPr>
            <w:r/>
            <w:r>
              <w:rPr>
                <w:b w:val="0"/>
                <w:sz w:val="15"/>
              </w:rPr>
              <w:t>Do not merge a proposed policy with the operative rent or quote a figure without the notice.</w:t>
            </w:r>
          </w:p>
        </w:tc>
      </w:tr>
      <w:tr>
        <w:tc>
          <w:tcPr>
            <w:tcW w:type="dxa" w:w="2664"/>
            <w:vAlign w:val="center"/>
            <w:shd w:fill="F6F8FA"/>
          </w:tcPr>
          <w:p>
            <w:pPr>
              <w:spacing w:after="0"/>
            </w:pPr>
            <w:r/>
            <w:r>
              <w:rPr>
                <w:b w:val="0"/>
                <w:sz w:val="15"/>
              </w:rPr>
              <w:t>Service charges</w:t>
            </w:r>
          </w:p>
        </w:tc>
        <w:tc>
          <w:tcPr>
            <w:tcW w:type="dxa" w:w="2664"/>
            <w:vAlign w:val="center"/>
          </w:tcPr>
          <w:p>
            <w:pPr>
              <w:spacing w:after="0"/>
            </w:pPr>
            <w:r/>
            <w:r>
              <w:rPr>
                <w:b w:val="0"/>
                <w:sz w:val="15"/>
              </w:rPr>
              <w:t>Current estimate/statement is the reference for the current period.</w:t>
            </w:r>
          </w:p>
        </w:tc>
        <w:tc>
          <w:tcPr>
            <w:tcW w:type="dxa" w:w="2664"/>
            <w:vAlign w:val="center"/>
          </w:tcPr>
          <w:p>
            <w:pPr>
              <w:spacing w:after="0"/>
            </w:pPr>
            <w:r/>
            <w:r>
              <w:rPr>
                <w:b w:val="0"/>
                <w:sz w:val="15"/>
              </w:rPr>
              <w:t>S1 follows its service schedule; S2 may be reviewed but has no settled start date.</w:t>
            </w:r>
          </w:p>
        </w:tc>
        <w:tc>
          <w:tcPr>
            <w:tcW w:type="dxa" w:w="2664"/>
            <w:vAlign w:val="center"/>
          </w:tcPr>
          <w:p>
            <w:pPr>
              <w:spacing w:after="0"/>
            </w:pPr>
            <w:r/>
            <w:r>
              <w:rPr>
                <w:b w:val="0"/>
                <w:sz w:val="15"/>
              </w:rPr>
              <w:t>A resident can see rent and service charge move at different times and for different reasons.</w:t>
            </w:r>
          </w:p>
        </w:tc>
      </w:tr>
      <w:tr>
        <w:tc>
          <w:tcPr>
            <w:tcW w:type="dxa" w:w="2664"/>
            <w:vAlign w:val="center"/>
            <w:shd w:fill="EAF2F6"/>
          </w:tcPr>
          <w:p>
            <w:pPr>
              <w:spacing w:after="0"/>
            </w:pPr>
            <w:r/>
            <w:r>
              <w:rPr>
                <w:b w:val="0"/>
                <w:sz w:val="15"/>
              </w:rPr>
              <w:t>Support funds</w:t>
            </w:r>
          </w:p>
        </w:tc>
        <w:tc>
          <w:tcPr>
            <w:tcW w:type="dxa" w:w="2664"/>
            <w:vAlign w:val="center"/>
          </w:tcPr>
          <w:p>
            <w:pPr>
              <w:spacing w:after="0"/>
            </w:pPr>
            <w:r/>
            <w:r>
              <w:rPr>
                <w:b w:val="0"/>
                <w:sz w:val="15"/>
              </w:rPr>
              <w:t>Existing scheme/assessment route applies unless the administering body says otherwise.</w:t>
            </w:r>
          </w:p>
        </w:tc>
        <w:tc>
          <w:tcPr>
            <w:tcW w:type="dxa" w:w="2664"/>
            <w:vAlign w:val="center"/>
          </w:tcPr>
          <w:p>
            <w:pPr>
              <w:spacing w:after="0"/>
            </w:pPr>
            <w:r/>
            <w:r>
              <w:rPr>
                <w:b w:val="0"/>
                <w:sz w:val="15"/>
              </w:rPr>
              <w:t>F1 process proposal and F2 funding timing are pending; no automatic award follows.</w:t>
            </w:r>
          </w:p>
        </w:tc>
        <w:tc>
          <w:tcPr>
            <w:tcW w:type="dxa" w:w="2664"/>
            <w:vAlign w:val="center"/>
          </w:tcPr>
          <w:p>
            <w:pPr>
              <w:spacing w:after="0"/>
            </w:pPr>
            <w:r/>
            <w:r>
              <w:rPr>
                <w:b w:val="0"/>
                <w:sz w:val="15"/>
              </w:rPr>
              <w:t>Record the question and refer rather than promise eligibility, payment or a date.</w:t>
            </w:r>
          </w:p>
        </w:tc>
      </w:tr>
    </w:tbl>
    <w:p>
      <w:pPr>
        <w:pStyle w:val="Heading2"/>
        <w:spacing w:before="80" w:after="60"/>
      </w:pPr>
      <w:r>
        <w:rPr>
          <w:color w:val="183A56"/>
        </w:rPr>
        <w:t>When information conflicts</w:t>
      </w:r>
    </w:p>
    <w:p>
      <w:pPr>
        <w:pStyle w:val="ListBullet"/>
        <w:spacing w:after="20"/>
        <w:ind w:left="259"/>
      </w:pPr>
      <w:r>
        <w:rPr>
          <w:sz w:val="18"/>
        </w:rPr>
        <w:t>Name the source type and the event it describes (announcement, decision, effective date or implementation).</w:t>
      </w:r>
    </w:p>
    <w:p>
      <w:pPr>
        <w:pStyle w:val="ListBullet"/>
        <w:spacing w:after="20"/>
        <w:ind w:left="259"/>
      </w:pPr>
      <w:r>
        <w:rPr>
          <w:sz w:val="18"/>
        </w:rPr>
        <w:t>If dates differ, do not choose one: use “date not confirmed” and refer to the owning team. The resident-facing answer is limited to what is consistent across sources.</w:t>
      </w:r>
    </w:p>
    <w:p>
      <w:pPr>
        <w:pStyle w:val="ListBullet"/>
        <w:spacing w:after="20"/>
        <w:ind w:left="259"/>
      </w:pPr>
      <w:r>
        <w:rPr>
          <w:sz w:val="18"/>
        </w:rPr>
        <w:t>If no reliable confirmation supports an answer, say so plainly, capture the minimum facts and escalate. This is a safe limitation, not a promise of a later outcome.</w:t>
      </w:r>
    </w:p>
    <w:p>
      <w:r>
        <w:br w:type="page"/>
      </w:r>
    </w:p>
    <w:p>
      <w:pPr>
        <w:pStyle w:val="Heading1"/>
        <w:spacing w:before="80" w:after="60"/>
      </w:pPr>
      <w:r>
        <w:rPr>
          <w:color w:val="183A56"/>
        </w:rPr>
        <w:t>3 | Live-call Q&amp;A card</w:t>
      </w:r>
    </w:p>
    <w:tbl>
      <w:tblPr>
        <w:tblW w:type="auto" w:w="0"/>
        <w:jc w:val="center"/>
        <w:tblLook w:firstColumn="1" w:firstRow="1" w:lastColumn="0" w:lastRow="0" w:noHBand="0" w:noVBand="1" w:val="04A0"/>
        <w:tblBorders>
          <w:top w:val="single" w:sz="8" w:color="B8CBD8"/>
          <w:left w:val="single" w:sz="8" w:color="B8CBD8"/>
          <w:bottom w:val="single" w:sz="8" w:color="B8CBD8"/>
          <w:right w:val="single" w:sz="8" w:color="B8CBD8"/>
          <w:insideH w:val="single" w:sz="8" w:color="B8CBD8"/>
          <w:insideV w:val="single" w:sz="8" w:color="B8CBD8"/>
        </w:tblBorders>
      </w:tblPr>
      <w:tblGrid>
        <w:gridCol w:w="5328"/>
        <w:gridCol w:w="5328"/>
      </w:tblGrid>
      <w:tr>
        <w:tc>
          <w:tcPr>
            <w:tcW w:type="dxa" w:w="5328"/>
            <w:vAlign w:val="center"/>
            <w:shd w:fill="183A56"/>
          </w:tcPr>
          <w:p>
            <w:pPr>
              <w:spacing w:after="0"/>
            </w:pPr>
            <w:r/>
            <w:r>
              <w:rPr>
                <w:b/>
                <w:color w:val="FFFFFF"/>
                <w:sz w:val="16"/>
              </w:rPr>
              <w:t>Resident asks…</w:t>
            </w:r>
          </w:p>
        </w:tc>
        <w:tc>
          <w:tcPr>
            <w:tcW w:type="dxa" w:w="5328"/>
            <w:vAlign w:val="center"/>
            <w:shd w:fill="183A56"/>
          </w:tcPr>
          <w:p>
            <w:pPr>
              <w:spacing w:after="0"/>
            </w:pPr>
            <w:r/>
            <w:r>
              <w:rPr>
                <w:b/>
                <w:color w:val="FFFFFF"/>
                <w:sz w:val="16"/>
              </w:rPr>
              <w:t>Handler answer (use or adapt)</w:t>
            </w:r>
          </w:p>
        </w:tc>
      </w:tr>
      <w:tr>
        <w:tc>
          <w:tcPr>
            <w:tcW w:type="dxa" w:w="5328"/>
            <w:vAlign w:val="center"/>
            <w:shd w:fill="EAF2F6"/>
          </w:tcPr>
          <w:p>
            <w:pPr>
              <w:spacing w:after="0"/>
            </w:pPr>
            <w:r/>
            <w:r>
              <w:rPr>
                <w:b/>
                <w:color w:val="183A56"/>
                <w:sz w:val="16"/>
              </w:rPr>
              <w:t>What is changing?</w:t>
            </w:r>
          </w:p>
        </w:tc>
        <w:tc>
          <w:tcPr>
            <w:tcW w:type="dxa" w:w="5328"/>
            <w:vAlign w:val="center"/>
          </w:tcPr>
          <w:p>
            <w:pPr>
              <w:spacing w:after="0"/>
            </w:pPr>
            <w:r/>
            <w:r>
              <w:rPr>
                <w:b w:val="0"/>
                <w:sz w:val="16"/>
              </w:rPr>
              <w:t>There is a confirmed rent review and a confirmed service-charge estimate on separate schedules. Some policy, cost and support-fund items are proposed or still being timed. I can check the notice that applies to your account; this pack does not contain a rate or guarantee.</w:t>
            </w:r>
          </w:p>
        </w:tc>
      </w:tr>
      <w:tr>
        <w:tc>
          <w:tcPr>
            <w:tcW w:type="dxa" w:w="5328"/>
            <w:vAlign w:val="center"/>
            <w:shd w:fill="EAF2F6"/>
          </w:tcPr>
          <w:p>
            <w:pPr>
              <w:spacing w:after="0"/>
            </w:pPr>
            <w:r/>
            <w:r>
              <w:rPr>
                <w:b/>
                <w:color w:val="183A56"/>
                <w:sz w:val="16"/>
              </w:rPr>
              <w:t>When does it change?</w:t>
            </w:r>
          </w:p>
        </w:tc>
        <w:tc>
          <w:tcPr>
            <w:tcW w:type="dxa" w:w="5328"/>
            <w:vAlign w:val="center"/>
          </w:tcPr>
          <w:p>
            <w:pPr>
              <w:spacing w:after="0"/>
            </w:pPr>
            <w:r/>
            <w:r>
              <w:rPr>
                <w:b w:val="0"/>
                <w:sz w:val="16"/>
              </w:rPr>
              <w:t>The announcement, effective date and the date it appears on an account may differ. Rent and service charges can have different dates; for S2 and F2 the start date is not confirmed. I will not guess—your owning team can confirm the applicable notice.</w:t>
            </w:r>
          </w:p>
        </w:tc>
      </w:tr>
      <w:tr>
        <w:tc>
          <w:tcPr>
            <w:tcW w:type="dxa" w:w="5328"/>
            <w:vAlign w:val="center"/>
            <w:shd w:fill="EAF2F6"/>
          </w:tcPr>
          <w:p>
            <w:pPr>
              <w:spacing w:after="0"/>
            </w:pPr>
            <w:r/>
            <w:r>
              <w:rPr>
                <w:b/>
                <w:color w:val="183A56"/>
                <w:sz w:val="16"/>
              </w:rPr>
              <w:t>Does it apply to me?</w:t>
            </w:r>
          </w:p>
        </w:tc>
        <w:tc>
          <w:tcPr>
            <w:tcW w:type="dxa" w:w="5328"/>
            <w:vAlign w:val="center"/>
          </w:tcPr>
          <w:p>
            <w:pPr>
              <w:spacing w:after="0"/>
            </w:pPr>
            <w:r/>
            <w:r>
              <w:rPr>
                <w:b w:val="0"/>
                <w:sz w:val="16"/>
              </w:rPr>
              <w:t>It depends on your tenancy, service schedule and (for a fund) the scheme assessment. I can explain the general published position, but I cannot decide an individual account, eligibility or award.</w:t>
            </w:r>
          </w:p>
        </w:tc>
      </w:tr>
      <w:tr>
        <w:tc>
          <w:tcPr>
            <w:tcW w:type="dxa" w:w="5328"/>
            <w:vAlign w:val="center"/>
            <w:shd w:fill="EAF2F6"/>
          </w:tcPr>
          <w:p>
            <w:pPr>
              <w:spacing w:after="0"/>
            </w:pPr>
            <w:r/>
            <w:r>
              <w:rPr>
                <w:b/>
                <w:color w:val="183A56"/>
                <w:sz w:val="16"/>
              </w:rPr>
              <w:t>Why did my rent and service charge not move together?</w:t>
            </w:r>
          </w:p>
        </w:tc>
        <w:tc>
          <w:tcPr>
            <w:tcW w:type="dxa" w:w="5328"/>
            <w:vAlign w:val="center"/>
          </w:tcPr>
          <w:p>
            <w:pPr>
              <w:spacing w:after="0"/>
            </w:pPr>
            <w:r/>
            <w:r>
              <w:rPr>
                <w:b w:val="0"/>
                <w:sz w:val="16"/>
              </w:rPr>
              <w:t>They are separate charges with separate bases and timetables. Rent follows the rent notice; service charge follows the services estimate or reconciliation. A difference does not by itself indicate an error.</w:t>
            </w:r>
          </w:p>
        </w:tc>
      </w:tr>
      <w:tr>
        <w:tc>
          <w:tcPr>
            <w:tcW w:type="dxa" w:w="5328"/>
            <w:vAlign w:val="center"/>
            <w:shd w:fill="EAF2F6"/>
          </w:tcPr>
          <w:p>
            <w:pPr>
              <w:spacing w:after="0"/>
            </w:pPr>
            <w:r/>
            <w:r>
              <w:rPr>
                <w:b/>
                <w:color w:val="183A56"/>
                <w:sz w:val="16"/>
              </w:rPr>
              <w:t>Is the support fund guaranteed?</w:t>
            </w:r>
          </w:p>
        </w:tc>
        <w:tc>
          <w:tcPr>
            <w:tcW w:type="dxa" w:w="5328"/>
            <w:vAlign w:val="center"/>
          </w:tcPr>
          <w:p>
            <w:pPr>
              <w:spacing w:after="0"/>
            </w:pPr>
            <w:r/>
            <w:r>
              <w:rPr>
                <w:b w:val="0"/>
                <w:sz w:val="16"/>
              </w:rPr>
              <w:t>No. An open fund or assessment-process notice is not a guaranteed payment. Eligibility, evidence and the award decision sit with the Welfare/Support Fund Team or scheme administrator.</w:t>
            </w:r>
          </w:p>
        </w:tc>
      </w:tr>
      <w:tr>
        <w:tc>
          <w:tcPr>
            <w:tcW w:type="dxa" w:w="5328"/>
            <w:vAlign w:val="center"/>
            <w:shd w:fill="EAF2F6"/>
          </w:tcPr>
          <w:p>
            <w:pPr>
              <w:spacing w:after="0"/>
            </w:pPr>
            <w:r/>
            <w:r>
              <w:rPr>
                <w:b/>
                <w:color w:val="183A56"/>
                <w:sz w:val="16"/>
              </w:rPr>
              <w:t>I saw a different date / message.</w:t>
            </w:r>
          </w:p>
        </w:tc>
        <w:tc>
          <w:tcPr>
            <w:tcW w:type="dxa" w:w="5328"/>
            <w:vAlign w:val="center"/>
          </w:tcPr>
          <w:p>
            <w:pPr>
              <w:spacing w:after="0"/>
            </w:pPr>
            <w:r/>
            <w:r>
              <w:rPr>
                <w:b w:val="0"/>
                <w:sz w:val="16"/>
              </w:rPr>
              <w:t>Thank you—sources can describe different events. I will record the wording and date, avoid treating it as final, and refer the conflict to the owning team for confirmation.</w:t>
            </w:r>
          </w:p>
        </w:tc>
      </w:tr>
    </w:tbl>
    <w:p>
      <w:pPr>
        <w:pStyle w:val="Heading2"/>
        <w:spacing w:before="80" w:after="60"/>
      </w:pPr>
      <w:r>
        <w:rPr>
          <w:color w:val="183A56"/>
        </w:rPr>
        <w:t>Boundaries &amp; escalation</w:t>
      </w:r>
    </w:p>
    <w:tbl>
      <w:tblPr>
        <w:tblW w:type="auto" w:w="0"/>
        <w:jc w:val="center"/>
        <w:tblLook w:firstColumn="1" w:firstRow="1" w:lastColumn="0" w:lastRow="0" w:noHBand="0" w:noVBand="1" w:val="04A0"/>
        <w:tblBorders>
          <w:top w:val="single" w:sz="6" w:color="D9E2EA"/>
          <w:left w:val="single" w:sz="6" w:color="D9E2EA"/>
          <w:bottom w:val="single" w:sz="6" w:color="D9E2EA"/>
          <w:right w:val="single" w:sz="6" w:color="D9E2EA"/>
          <w:insideH w:val="single" w:sz="6" w:color="D9E2EA"/>
          <w:insideV w:val="single" w:sz="6" w:color="D9E2EA"/>
        </w:tblBorders>
      </w:tblPr>
      <w:tblGrid>
        <w:gridCol w:w="3552"/>
        <w:gridCol w:w="3552"/>
        <w:gridCol w:w="3552"/>
      </w:tblGrid>
      <w:tr>
        <w:tc>
          <w:tcPr>
            <w:tcW w:type="dxa" w:w="3552"/>
            <w:vAlign w:val="center"/>
            <w:shd w:fill="183A56"/>
          </w:tcPr>
          <w:p>
            <w:pPr>
              <w:spacing w:after="0"/>
            </w:pPr>
            <w:r/>
            <w:r>
              <w:rPr>
                <w:b/>
                <w:color w:val="FFFFFF"/>
                <w:sz w:val="15"/>
              </w:rPr>
              <w:t>Do not decide / provide</w:t>
            </w:r>
          </w:p>
        </w:tc>
        <w:tc>
          <w:tcPr>
            <w:tcW w:type="dxa" w:w="3552"/>
            <w:vAlign w:val="center"/>
            <w:shd w:fill="183A56"/>
          </w:tcPr>
          <w:p>
            <w:pPr>
              <w:spacing w:after="0"/>
            </w:pPr>
            <w:r/>
            <w:r>
              <w:rPr>
                <w:b/>
                <w:color w:val="FFFFFF"/>
                <w:sz w:val="15"/>
              </w:rPr>
              <w:t>Say instead</w:t>
            </w:r>
          </w:p>
        </w:tc>
        <w:tc>
          <w:tcPr>
            <w:tcW w:type="dxa" w:w="3552"/>
            <w:vAlign w:val="center"/>
            <w:shd w:fill="183A56"/>
          </w:tcPr>
          <w:p>
            <w:pPr>
              <w:spacing w:after="0"/>
            </w:pPr>
            <w:r/>
            <w:r>
              <w:rPr>
                <w:b/>
                <w:color w:val="FFFFFF"/>
                <w:sz w:val="15"/>
              </w:rPr>
              <w:t>Route + capture before referral</w:t>
            </w:r>
          </w:p>
        </w:tc>
      </w:tr>
      <w:tr>
        <w:tc>
          <w:tcPr>
            <w:tcW w:type="dxa" w:w="3552"/>
            <w:vAlign w:val="center"/>
            <w:shd w:fill="FCE8E6"/>
          </w:tcPr>
          <w:p>
            <w:pPr>
              <w:spacing w:after="0"/>
            </w:pPr>
            <w:r/>
            <w:r>
              <w:rPr>
                <w:b w:val="0"/>
                <w:sz w:val="14"/>
              </w:rPr>
              <w:t>Benefits eligibility or specialist assessment</w:t>
            </w:r>
          </w:p>
        </w:tc>
        <w:tc>
          <w:tcPr>
            <w:tcW w:type="dxa" w:w="3552"/>
            <w:vAlign w:val="center"/>
          </w:tcPr>
          <w:p>
            <w:pPr>
              <w:spacing w:after="0"/>
            </w:pPr>
            <w:r/>
            <w:r>
              <w:rPr>
                <w:b w:val="0"/>
                <w:sz w:val="14"/>
              </w:rPr>
              <w:t>“I can explain the published scheme position, not decide eligibility or an award.”</w:t>
            </w:r>
          </w:p>
        </w:tc>
        <w:tc>
          <w:tcPr>
            <w:tcW w:type="dxa" w:w="3552"/>
            <w:vAlign w:val="center"/>
          </w:tcPr>
          <w:p>
            <w:pPr>
              <w:spacing w:after="0"/>
            </w:pPr>
            <w:r/>
            <w:r>
              <w:rPr>
                <w:b w:val="0"/>
                <w:sz w:val="14"/>
              </w:rPr>
              <w:t>Welfare / Support Fund Team or named scheme assessor. Capture fund/topic, relevant date, resident question, and any stated deadline.</w:t>
            </w:r>
          </w:p>
        </w:tc>
      </w:tr>
      <w:tr>
        <w:tc>
          <w:tcPr>
            <w:tcW w:type="dxa" w:w="3552"/>
            <w:vAlign w:val="center"/>
            <w:shd w:fill="FCE8E6"/>
          </w:tcPr>
          <w:p>
            <w:pPr>
              <w:spacing w:after="0"/>
            </w:pPr>
            <w:r/>
            <w:r>
              <w:rPr>
                <w:b w:val="0"/>
                <w:sz w:val="14"/>
              </w:rPr>
              <w:t>Legal advice or interpretation of rights</w:t>
            </w:r>
          </w:p>
        </w:tc>
        <w:tc>
          <w:tcPr>
            <w:tcW w:type="dxa" w:w="3552"/>
            <w:vAlign w:val="center"/>
          </w:tcPr>
          <w:p>
            <w:pPr>
              <w:spacing w:after="0"/>
            </w:pPr>
            <w:r/>
            <w:r>
              <w:rPr>
                <w:b w:val="0"/>
                <w:sz w:val="14"/>
              </w:rPr>
              <w:t>“I cannot give legal advice or interpret your rights.”</w:t>
            </w:r>
          </w:p>
        </w:tc>
        <w:tc>
          <w:tcPr>
            <w:tcW w:type="dxa" w:w="3552"/>
            <w:vAlign w:val="center"/>
          </w:tcPr>
          <w:p>
            <w:pPr>
              <w:spacing w:after="0"/>
            </w:pPr>
            <w:r/>
            <w:r>
              <w:rPr>
                <w:b w:val="0"/>
                <w:sz w:val="14"/>
              </w:rPr>
              <w:t>Legal Counsel / approved rights service. Capture the issue, document/date cited, and resident’s question—do not offer a view.</w:t>
            </w:r>
          </w:p>
        </w:tc>
      </w:tr>
      <w:tr>
        <w:tc>
          <w:tcPr>
            <w:tcW w:type="dxa" w:w="3552"/>
            <w:vAlign w:val="center"/>
            <w:shd w:fill="FCE8E6"/>
          </w:tcPr>
          <w:p>
            <w:pPr>
              <w:spacing w:after="0"/>
            </w:pPr>
            <w:r/>
            <w:r>
              <w:rPr>
                <w:b w:val="0"/>
                <w:sz w:val="14"/>
              </w:rPr>
              <w:t>Account-specific rent/service-charge determination</w:t>
            </w:r>
          </w:p>
        </w:tc>
        <w:tc>
          <w:tcPr>
            <w:tcW w:type="dxa" w:w="3552"/>
            <w:vAlign w:val="center"/>
          </w:tcPr>
          <w:p>
            <w:pPr>
              <w:spacing w:after="0"/>
            </w:pPr>
            <w:r/>
            <w:r>
              <w:rPr>
                <w:b w:val="0"/>
                <w:sz w:val="14"/>
              </w:rPr>
              <w:t>“The general note cannot decide what is on your account.”</w:t>
            </w:r>
          </w:p>
        </w:tc>
        <w:tc>
          <w:tcPr>
            <w:tcW w:type="dxa" w:w="3552"/>
            <w:vAlign w:val="center"/>
          </w:tcPr>
          <w:p>
            <w:pPr>
              <w:spacing w:after="0"/>
            </w:pPr>
            <w:r/>
            <w:r>
              <w:rPr>
                <w:b w:val="0"/>
                <w:sz w:val="14"/>
              </w:rPr>
              <w:t>Rent Accounts or Service Charge Team. Capture account reference, charge line, notice/date, and mismatch described.</w:t>
            </w:r>
          </w:p>
        </w:tc>
      </w:tr>
      <w:tr>
        <w:tc>
          <w:tcPr>
            <w:tcW w:type="dxa" w:w="3552"/>
            <w:vAlign w:val="center"/>
            <w:shd w:fill="FCE8E6"/>
          </w:tcPr>
          <w:p>
            <w:pPr>
              <w:spacing w:after="0"/>
            </w:pPr>
            <w:r/>
            <w:r>
              <w:rPr>
                <w:b w:val="0"/>
                <w:sz w:val="14"/>
              </w:rPr>
              <w:t>Complaint investigation or outcome</w:t>
            </w:r>
          </w:p>
        </w:tc>
        <w:tc>
          <w:tcPr>
            <w:tcW w:type="dxa" w:w="3552"/>
            <w:vAlign w:val="center"/>
          </w:tcPr>
          <w:p>
            <w:pPr>
              <w:spacing w:after="0"/>
            </w:pPr>
            <w:r/>
            <w:r>
              <w:rPr>
                <w:b w:val="0"/>
                <w:sz w:val="14"/>
              </w:rPr>
              <w:t>“I can record the concern, but I cannot investigate or decide it here.”</w:t>
            </w:r>
          </w:p>
        </w:tc>
        <w:tc>
          <w:tcPr>
            <w:tcW w:type="dxa" w:w="3552"/>
            <w:vAlign w:val="center"/>
          </w:tcPr>
          <w:p>
            <w:pPr>
              <w:spacing w:after="0"/>
            </w:pPr>
            <w:r/>
            <w:r>
              <w:rPr>
                <w:b w:val="0"/>
                <w:sz w:val="14"/>
              </w:rPr>
              <w:t>Complaints function. Capture concern, event/date, requested outcome and relevant correspondence.</w:t>
            </w:r>
          </w:p>
        </w:tc>
      </w:tr>
    </w:tbl>
    <w:p>
      <w:r>
        <w:br w:type="page"/>
      </w:r>
    </w:p>
    <w:p>
      <w:pPr>
        <w:pStyle w:val="Heading1"/>
        <w:spacing w:before="80" w:after="60"/>
      </w:pPr>
      <w:r>
        <w:rPr>
          <w:color w:val="183A56"/>
        </w:rPr>
        <w:t>4 | Edition record, sources &amp; handoff</w:t>
      </w:r>
    </w:p>
    <w:p>
      <w:pPr>
        <w:pStyle w:val="Heading2"/>
        <w:spacing w:before="80" w:after="60"/>
      </w:pPr>
      <w:r>
        <w:rPr>
          <w:color w:val="183A56"/>
        </w:rPr>
        <w:t>What changed in this edition</w:t>
      </w:r>
    </w:p>
    <w:tbl>
      <w:tblPr>
        <w:tblW w:type="auto" w:w="0"/>
        <w:jc w:val="center"/>
        <w:tblLook w:firstColumn="1" w:firstRow="1" w:lastColumn="0" w:lastRow="0" w:noHBand="0" w:noVBand="1" w:val="04A0"/>
        <w:tblBorders>
          <w:top w:val="single" w:sz="6" w:color="D9E2EA"/>
          <w:left w:val="single" w:sz="6" w:color="D9E2EA"/>
          <w:bottom w:val="single" w:sz="6" w:color="D9E2EA"/>
          <w:right w:val="single" w:sz="6" w:color="D9E2EA"/>
          <w:insideH w:val="single" w:sz="6" w:color="D9E2EA"/>
          <w:insideV w:val="single" w:sz="6" w:color="D9E2EA"/>
        </w:tblBorders>
      </w:tblPr>
      <w:tblGrid>
        <w:gridCol w:w="3552"/>
        <w:gridCol w:w="3552"/>
        <w:gridCol w:w="3552"/>
      </w:tblGrid>
      <w:tr>
        <w:tc>
          <w:tcPr>
            <w:tcW w:type="dxa" w:w="3552"/>
            <w:vAlign w:val="center"/>
            <w:shd w:fill="183A56"/>
          </w:tcPr>
          <w:p>
            <w:pPr>
              <w:spacing w:after="0"/>
            </w:pPr>
            <w:r/>
            <w:r>
              <w:rPr>
                <w:b/>
                <w:color w:val="FFFFFF"/>
                <w:sz w:val="16"/>
              </w:rPr>
              <w:t>Affected topic</w:t>
            </w:r>
          </w:p>
        </w:tc>
        <w:tc>
          <w:tcPr>
            <w:tcW w:type="dxa" w:w="3552"/>
            <w:vAlign w:val="center"/>
            <w:shd w:fill="183A56"/>
          </w:tcPr>
          <w:p>
            <w:pPr>
              <w:spacing w:after="0"/>
            </w:pPr>
            <w:r/>
            <w:r>
              <w:rPr>
                <w:b/>
                <w:color w:val="FFFFFF"/>
                <w:sz w:val="16"/>
              </w:rPr>
              <w:t>Edition change</w:t>
            </w:r>
          </w:p>
        </w:tc>
        <w:tc>
          <w:tcPr>
            <w:tcW w:type="dxa" w:w="3552"/>
            <w:vAlign w:val="center"/>
            <w:shd w:fill="183A56"/>
          </w:tcPr>
          <w:p>
            <w:pPr>
              <w:spacing w:after="0"/>
            </w:pPr>
            <w:r/>
            <w:r>
              <w:rPr>
                <w:b/>
                <w:color w:val="FFFFFF"/>
                <w:sz w:val="16"/>
              </w:rPr>
              <w:t>Handler consequence</w:t>
            </w:r>
          </w:p>
        </w:tc>
      </w:tr>
      <w:tr>
        <w:tc>
          <w:tcPr>
            <w:tcW w:type="dxa" w:w="3552"/>
            <w:vAlign w:val="center"/>
            <w:shd w:fill="EAF2F6"/>
          </w:tcPr>
          <w:p>
            <w:pPr>
              <w:spacing w:after="0"/>
            </w:pPr>
            <w:r/>
            <w:r>
              <w:rPr>
                <w:b w:val="0"/>
                <w:sz w:val="16"/>
              </w:rPr>
              <w:t>All topics / timing</w:t>
            </w:r>
          </w:p>
        </w:tc>
        <w:tc>
          <w:tcPr>
            <w:tcW w:type="dxa" w:w="3552"/>
            <w:vAlign w:val="center"/>
          </w:tcPr>
          <w:p>
            <w:pPr>
              <w:spacing w:after="0"/>
            </w:pPr>
            <w:r/>
            <w:r>
              <w:rPr>
                <w:b w:val="0"/>
                <w:sz w:val="16"/>
              </w:rPr>
              <w:t>Added explicit decision → effective date → implementation convention and conflict treatment.</w:t>
            </w:r>
          </w:p>
        </w:tc>
        <w:tc>
          <w:tcPr>
            <w:tcW w:type="dxa" w:w="3552"/>
            <w:vAlign w:val="center"/>
          </w:tcPr>
          <w:p>
            <w:pPr>
              <w:spacing w:after="0"/>
            </w:pPr>
            <w:r/>
            <w:r>
              <w:rPr>
                <w:b w:val="0"/>
                <w:sz w:val="16"/>
              </w:rPr>
              <w:t>Do not equate publication with a live account change.</w:t>
            </w:r>
          </w:p>
        </w:tc>
      </w:tr>
      <w:tr>
        <w:tc>
          <w:tcPr>
            <w:tcW w:type="dxa" w:w="3552"/>
            <w:vAlign w:val="center"/>
            <w:shd w:fill="F6F8FA"/>
          </w:tcPr>
          <w:p>
            <w:pPr>
              <w:spacing w:after="0"/>
            </w:pPr>
            <w:r/>
            <w:r>
              <w:rPr>
                <w:b w:val="0"/>
                <w:sz w:val="16"/>
              </w:rPr>
              <w:t>Rent + service charges</w:t>
            </w:r>
          </w:p>
        </w:tc>
        <w:tc>
          <w:tcPr>
            <w:tcW w:type="dxa" w:w="3552"/>
            <w:vAlign w:val="center"/>
          </w:tcPr>
          <w:p>
            <w:pPr>
              <w:spacing w:after="0"/>
            </w:pPr>
            <w:r/>
            <w:r>
              <w:rPr>
                <w:b w:val="0"/>
                <w:sz w:val="16"/>
              </w:rPr>
              <w:t>Separated rent review (R1) from service-charge estimate/reconciliation (S1) and unresolved cost timing (S2).</w:t>
            </w:r>
          </w:p>
        </w:tc>
        <w:tc>
          <w:tcPr>
            <w:tcW w:type="dxa" w:w="3552"/>
            <w:vAlign w:val="center"/>
          </w:tcPr>
          <w:p>
            <w:pPr>
              <w:spacing w:after="0"/>
            </w:pPr>
            <w:r/>
            <w:r>
              <w:rPr>
                <w:b w:val="0"/>
                <w:sz w:val="16"/>
              </w:rPr>
              <w:t>Explain why charges may move apart; refer mismatches.</w:t>
            </w:r>
          </w:p>
        </w:tc>
      </w:tr>
      <w:tr>
        <w:tc>
          <w:tcPr>
            <w:tcW w:type="dxa" w:w="3552"/>
            <w:vAlign w:val="center"/>
            <w:shd w:fill="EAF2F6"/>
          </w:tcPr>
          <w:p>
            <w:pPr>
              <w:spacing w:after="0"/>
            </w:pPr>
            <w:r/>
            <w:r>
              <w:rPr>
                <w:b w:val="0"/>
                <w:sz w:val="16"/>
              </w:rPr>
              <w:t>Support funds</w:t>
            </w:r>
          </w:p>
        </w:tc>
        <w:tc>
          <w:tcPr>
            <w:tcW w:type="dxa" w:w="3552"/>
            <w:vAlign w:val="center"/>
          </w:tcPr>
          <w:p>
            <w:pPr>
              <w:spacing w:after="0"/>
            </w:pPr>
            <w:r/>
            <w:r>
              <w:rPr>
                <w:b w:val="0"/>
                <w:sz w:val="16"/>
              </w:rPr>
              <w:t>Added proposed assessment-service item (F1) and unresolved allocation timing (F2), with no automatic-award wording.</w:t>
            </w:r>
          </w:p>
        </w:tc>
        <w:tc>
          <w:tcPr>
            <w:tcW w:type="dxa" w:w="3552"/>
            <w:vAlign w:val="center"/>
          </w:tcPr>
          <w:p>
            <w:pPr>
              <w:spacing w:after="0"/>
            </w:pPr>
            <w:r/>
            <w:r>
              <w:rPr>
                <w:b w:val="0"/>
                <w:sz w:val="16"/>
              </w:rPr>
              <w:t>Qualify every fund answer; route eligibility.</w:t>
            </w:r>
          </w:p>
        </w:tc>
      </w:tr>
      <w:tr>
        <w:tc>
          <w:tcPr>
            <w:tcW w:type="dxa" w:w="3552"/>
            <w:vAlign w:val="center"/>
            <w:shd w:fill="F6F8FA"/>
          </w:tcPr>
          <w:p>
            <w:pPr>
              <w:spacing w:after="0"/>
            </w:pPr>
            <w:r/>
            <w:r>
              <w:rPr>
                <w:b w:val="0"/>
                <w:sz w:val="16"/>
              </w:rPr>
              <w:t>Call handling</w:t>
            </w:r>
          </w:p>
        </w:tc>
        <w:tc>
          <w:tcPr>
            <w:tcW w:type="dxa" w:w="3552"/>
            <w:vAlign w:val="center"/>
          </w:tcPr>
          <w:p>
            <w:pPr>
              <w:spacing w:after="0"/>
            </w:pPr>
            <w:r/>
            <w:r>
              <w:rPr>
                <w:b w:val="0"/>
                <w:sz w:val="16"/>
              </w:rPr>
              <w:t>Added Q&amp;A card, status/confidence key and boundary routes.</w:t>
            </w:r>
          </w:p>
        </w:tc>
        <w:tc>
          <w:tcPr>
            <w:tcW w:type="dxa" w:w="3552"/>
            <w:vAlign w:val="center"/>
          </w:tcPr>
          <w:p>
            <w:pPr>
              <w:spacing w:after="0"/>
            </w:pPr>
            <w:r/>
            <w:r>
              <w:rPr>
                <w:b w:val="0"/>
                <w:sz w:val="16"/>
              </w:rPr>
              <w:t>Use the scripts; capture facts before referral.</w:t>
            </w:r>
          </w:p>
        </w:tc>
      </w:tr>
    </w:tbl>
    <w:p>
      <w:pPr>
        <w:pStyle w:val="Heading2"/>
        <w:spacing w:before="80" w:after="60"/>
      </w:pPr>
      <w:r>
        <w:rPr>
          <w:color w:val="183A56"/>
        </w:rPr>
        <w:t>Source register (source type, scope and confidence)</w:t>
      </w:r>
    </w:p>
    <w:tbl>
      <w:tblPr>
        <w:tblW w:type="auto" w:w="0"/>
        <w:jc w:val="center"/>
        <w:tblLook w:firstColumn="1" w:firstRow="1" w:lastColumn="0" w:lastRow="0" w:noHBand="0" w:noVBand="1" w:val="04A0"/>
        <w:tblBorders>
          <w:top w:val="single" w:sz="6" w:color="D9E2EA"/>
          <w:left w:val="single" w:sz="6" w:color="D9E2EA"/>
          <w:bottom w:val="single" w:sz="6" w:color="D9E2EA"/>
          <w:right w:val="single" w:sz="6" w:color="D9E2EA"/>
          <w:insideH w:val="single" w:sz="6" w:color="D9E2EA"/>
          <w:insideV w:val="single" w:sz="6" w:color="D9E2EA"/>
        </w:tblBorders>
      </w:tblPr>
      <w:tblGrid>
        <w:gridCol w:w="3552"/>
        <w:gridCol w:w="3552"/>
        <w:gridCol w:w="3552"/>
      </w:tblGrid>
      <w:tr>
        <w:tc>
          <w:tcPr>
            <w:tcW w:type="dxa" w:w="3552"/>
            <w:vAlign w:val="center"/>
            <w:shd w:fill="183A56"/>
          </w:tcPr>
          <w:p>
            <w:pPr>
              <w:spacing w:after="0"/>
            </w:pPr>
            <w:r/>
            <w:r>
              <w:rPr>
                <w:b/>
                <w:color w:val="FFFFFF"/>
                <w:sz w:val="15"/>
              </w:rPr>
              <w:t>Source type used</w:t>
            </w:r>
          </w:p>
        </w:tc>
        <w:tc>
          <w:tcPr>
            <w:tcW w:type="dxa" w:w="3552"/>
            <w:vAlign w:val="center"/>
            <w:shd w:fill="183A56"/>
          </w:tcPr>
          <w:p>
            <w:pPr>
              <w:spacing w:after="0"/>
            </w:pPr>
            <w:r/>
            <w:r>
              <w:rPr>
                <w:b/>
                <w:color w:val="FFFFFF"/>
                <w:sz w:val="15"/>
              </w:rPr>
              <w:t>What it can support</w:t>
            </w:r>
          </w:p>
        </w:tc>
        <w:tc>
          <w:tcPr>
            <w:tcW w:type="dxa" w:w="3552"/>
            <w:vAlign w:val="center"/>
            <w:shd w:fill="183A56"/>
          </w:tcPr>
          <w:p>
            <w:pPr>
              <w:spacing w:after="0"/>
            </w:pPr>
            <w:r/>
            <w:r>
              <w:rPr>
                <w:b/>
                <w:color w:val="FFFFFF"/>
                <w:sz w:val="15"/>
              </w:rPr>
              <w:t>Limits / treatment</w:t>
            </w:r>
          </w:p>
        </w:tc>
      </w:tr>
      <w:tr>
        <w:tc>
          <w:tcPr>
            <w:tcW w:type="dxa" w:w="3552"/>
            <w:vAlign w:val="center"/>
            <w:shd w:fill="EAF2F6"/>
          </w:tcPr>
          <w:p>
            <w:pPr>
              <w:spacing w:after="0"/>
            </w:pPr>
            <w:r/>
            <w:r>
              <w:rPr>
                <w:b w:val="0"/>
                <w:sz w:val="15"/>
              </w:rPr>
              <w:t>Approved Trust / board record</w:t>
            </w:r>
          </w:p>
        </w:tc>
        <w:tc>
          <w:tcPr>
            <w:tcW w:type="dxa" w:w="3552"/>
            <w:vAlign w:val="center"/>
          </w:tcPr>
          <w:p>
            <w:pPr>
              <w:spacing w:after="0"/>
            </w:pPr>
            <w:r/>
            <w:r>
              <w:rPr>
                <w:b w:val="0"/>
                <w:sz w:val="15"/>
              </w:rPr>
              <w:t>Confirmed rent or service-charge decision and internal scope.</w:t>
            </w:r>
          </w:p>
        </w:tc>
        <w:tc>
          <w:tcPr>
            <w:tcW w:type="dxa" w:w="3552"/>
            <w:vAlign w:val="center"/>
          </w:tcPr>
          <w:p>
            <w:pPr>
              <w:spacing w:after="0"/>
            </w:pPr>
            <w:r/>
            <w:r>
              <w:rPr>
                <w:b w:val="0"/>
                <w:sz w:val="15"/>
              </w:rPr>
              <w:t>Still check notice, effective date and account implementation separately.</w:t>
            </w:r>
          </w:p>
        </w:tc>
      </w:tr>
      <w:tr>
        <w:tc>
          <w:tcPr>
            <w:tcW w:type="dxa" w:w="3552"/>
            <w:vAlign w:val="center"/>
            <w:shd w:fill="F6F8FA"/>
          </w:tcPr>
          <w:p>
            <w:pPr>
              <w:spacing w:after="0"/>
            </w:pPr>
            <w:r/>
            <w:r>
              <w:rPr>
                <w:b w:val="0"/>
                <w:sz w:val="15"/>
              </w:rPr>
              <w:t>Regulator notice or consultation</w:t>
            </w:r>
          </w:p>
        </w:tc>
        <w:tc>
          <w:tcPr>
            <w:tcW w:type="dxa" w:w="3552"/>
            <w:vAlign w:val="center"/>
          </w:tcPr>
          <w:p>
            <w:pPr>
              <w:spacing w:after="0"/>
            </w:pPr>
            <w:r/>
            <w:r>
              <w:rPr>
                <w:b w:val="0"/>
                <w:sz w:val="15"/>
              </w:rPr>
              <w:t>A policy position, proposal or consultation status.</w:t>
            </w:r>
          </w:p>
        </w:tc>
        <w:tc>
          <w:tcPr>
            <w:tcW w:type="dxa" w:w="3552"/>
            <w:vAlign w:val="center"/>
          </w:tcPr>
          <w:p>
            <w:pPr>
              <w:spacing w:after="0"/>
            </w:pPr>
            <w:r/>
            <w:r>
              <w:rPr>
                <w:b w:val="0"/>
                <w:sz w:val="15"/>
              </w:rPr>
              <w:t>Not a Trust implementation or resident entitlement until adopted and effective.</w:t>
            </w:r>
          </w:p>
        </w:tc>
      </w:tr>
      <w:tr>
        <w:tc>
          <w:tcPr>
            <w:tcW w:type="dxa" w:w="3552"/>
            <w:vAlign w:val="center"/>
            <w:shd w:fill="EAF2F6"/>
          </w:tcPr>
          <w:p>
            <w:pPr>
              <w:spacing w:after="0"/>
            </w:pPr>
            <w:r/>
            <w:r>
              <w:rPr>
                <w:b w:val="0"/>
                <w:sz w:val="15"/>
              </w:rPr>
              <w:t>Council or scheme guidance</w:t>
            </w:r>
          </w:p>
        </w:tc>
        <w:tc>
          <w:tcPr>
            <w:tcW w:type="dxa" w:w="3552"/>
            <w:vAlign w:val="center"/>
          </w:tcPr>
          <w:p>
            <w:pPr>
              <w:spacing w:after="0"/>
            </w:pPr>
            <w:r/>
            <w:r>
              <w:rPr>
                <w:b w:val="0"/>
                <w:sz w:val="15"/>
              </w:rPr>
              <w:t>External funding window or scheme process information.</w:t>
            </w:r>
          </w:p>
        </w:tc>
        <w:tc>
          <w:tcPr>
            <w:tcW w:type="dxa" w:w="3552"/>
            <w:vAlign w:val="center"/>
          </w:tcPr>
          <w:p>
            <w:pPr>
              <w:spacing w:after="0"/>
            </w:pPr>
            <w:r/>
            <w:r>
              <w:rPr>
                <w:b w:val="0"/>
                <w:sz w:val="15"/>
              </w:rPr>
              <w:t>Attribution required; thresholds, allocations and dates remain pending if not confirmed.</w:t>
            </w:r>
          </w:p>
        </w:tc>
      </w:tr>
      <w:tr>
        <w:tc>
          <w:tcPr>
            <w:tcW w:type="dxa" w:w="3552"/>
            <w:vAlign w:val="center"/>
            <w:shd w:fill="F6F8FA"/>
          </w:tcPr>
          <w:p>
            <w:pPr>
              <w:spacing w:after="0"/>
            </w:pPr>
            <w:r/>
            <w:r>
              <w:rPr>
                <w:b w:val="0"/>
                <w:sz w:val="15"/>
              </w:rPr>
              <w:t>Provider notice — Bellwether Instruments / Drakemoor Laboratories</w:t>
            </w:r>
          </w:p>
        </w:tc>
        <w:tc>
          <w:tcPr>
            <w:tcW w:type="dxa" w:w="3552"/>
            <w:vAlign w:val="center"/>
          </w:tcPr>
          <w:p>
            <w:pPr>
              <w:spacing w:after="0"/>
            </w:pPr>
            <w:r/>
            <w:r>
              <w:rPr>
                <w:b w:val="0"/>
                <w:sz w:val="15"/>
              </w:rPr>
              <w:t>Evidence about platform display or an assessment service.</w:t>
            </w:r>
          </w:p>
        </w:tc>
        <w:tc>
          <w:tcPr>
            <w:tcW w:type="dxa" w:w="3552"/>
            <w:vAlign w:val="center"/>
          </w:tcPr>
          <w:p>
            <w:pPr>
              <w:spacing w:after="0"/>
            </w:pPr>
            <w:r/>
            <w:r>
              <w:rPr>
                <w:b w:val="0"/>
                <w:sz w:val="15"/>
              </w:rPr>
              <w:t>Supporting evidence only; does not create a Trust-wide charge, award or system instruction.</w:t>
            </w:r>
          </w:p>
        </w:tc>
      </w:tr>
    </w:tbl>
    <w:p>
      <w:pPr>
        <w:pStyle w:val="Heading2"/>
        <w:spacing w:before="80" w:after="60"/>
      </w:pPr>
      <w:r>
        <w:rPr>
          <w:color w:val="183A56"/>
        </w:rPr>
        <w:t>Quick handoff checklist</w:t>
      </w:r>
    </w:p>
    <w:p>
      <w:pPr>
        <w:pStyle w:val="ListBullet"/>
        <w:spacing w:after="20"/>
        <w:ind w:left="259"/>
      </w:pPr>
      <w:r>
        <w:rPr>
          <w:sz w:val="18"/>
        </w:rPr>
        <w:t>Capture resident question, subject (rent / service charge / fund), relevant notice or date, account or tenancy context, and the uncertainty or mismatch reported.</w:t>
      </w:r>
    </w:p>
    <w:p>
      <w:pPr>
        <w:pStyle w:val="ListBullet"/>
        <w:spacing w:after="20"/>
        <w:ind w:left="259"/>
      </w:pPr>
      <w:r>
        <w:rPr>
          <w:sz w:val="18"/>
        </w:rPr>
        <w:t>Use “confirmed”, “proposed / consulted-on” or “unresolved timing” exactly as defined. Never fill a gap with an estimated rate, threshold, payment, date or outcome.</w:t>
      </w:r>
    </w:p>
    <w:p>
      <w:pPr>
        <w:pStyle w:val="ListBullet"/>
        <w:spacing w:after="20"/>
        <w:ind w:left="259"/>
      </w:pPr>
      <w:r>
        <w:rPr>
          <w:sz w:val="18"/>
        </w:rPr>
        <w:t>This pack is current for the January–April planning horizon; the owning team’s later approved notice supersedes it. No other topic is changed by this edition unless listed above.</w:t>
      </w:r>
    </w:p>
    <w:sectPr w:rsidR="00FC693F" w:rsidRPr="0006063C" w:rsidSect="00034616">
      <w:headerReference w:type="default" r:id="rId9"/>
      <w:footerReference w:type="default" r:id="rId10"/>
      <w:pgSz w:w="12240" w:h="15840"/>
      <w:pgMar w:top="648"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Internal handler aid  •  Edition 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97A"/>
        <w:sz w:val="16"/>
      </w:rPr>
      <w:t>CAVENDISH HOUSING TRUST  /  CONTACT-CENTRE 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A35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Cavendish Housing Trust — Handler briefing pack</dc:title>
  <dc:subject>January to April rent, service charge and support fund changes</dc:subject>
  <dc:creator>Cavendish Housing Trust</dc:creator>
  <cp:keywords/>
  <dc:description>generated by python-docx</dc:description>
  <cp:lastModifiedBy/>
  <cp:revision>1</cp:revision>
  <dcterms:created xsi:type="dcterms:W3CDTF">2013-12-23T23:15:00Z</dcterms:created>
  <dcterms:modified xsi:type="dcterms:W3CDTF">2013-12-23T23:15:00Z</dcterms:modified>
  <cp:category/>
</cp:coreProperties>
</file>