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Annual Assessment &amp; Reserve Disclosure | Inglewood Terminals</w:t>
            </w:r>
          </w:p>
        </w:tc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Aviso anual de cuotas y divulgación de reservas | Inglewood Terminals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20"/>
              </w:rPr>
              <w:t>2026 Annual Assessment Notice</w:t>
            </w:r>
          </w:p>
        </w:tc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Aviso de cuotas anuales de 2026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Dear Inglewood Terminals owner: Dunmarrow Services, on behalf of the association, is providing the annual assessment and reserve disclosure for the 2026 fiscal year.</w:t>
            </w:r>
          </w:p>
        </w:tc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Estimado propietario de Inglewood Terminals: Dunmarrow Services, en nombre de la asociación, presenta el aviso de cuotas anuales y la divulgación de reservas para el año fiscal 2026.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2026 net assessment requirement is $1,052,000, compared with $923,000 for 2025, a change of $129,000 (14.0%).</w:t>
            </w:r>
          </w:p>
        </w:tc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El requisito neto de cuotas de 2026 es $1,052,000, en comparación con $923,000 para 2025, un cambio de $129,000 (14.0%).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20"/>
              </w:rPr>
              <w:t>Operating Budget and Assessment Requirement</w:t>
            </w:r>
          </w:p>
        </w:tc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Presupuesto operativo y requisito de cuotas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schedule below includes each current-year posting once, followed by the approved reserve contribution and the assessment-offset income.</w:t>
            </w:r>
          </w:p>
        </w:tc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El siguiente cuadro incluye cada registro del año actual una sola vez, seguido por la contribución aprobada a reservas y los ingresos que compensan las cuotas.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1656"/>
        <w:gridCol w:w="3312"/>
        <w:gridCol w:w="1656"/>
      </w:tblGrid>
      <w:tr>
        <w:tc>
          <w:tcPr>
            <w:tcW w:type="dxa" w:w="2592"/>
            <w:vAlign w:val="center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English schedule</w:t>
            </w:r>
          </w:p>
        </w:tc>
        <w:tc>
          <w:tcPr>
            <w:tcW w:type="dxa" w:w="2592"/>
            <w:vAlign w:val="center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Amount</w:t>
            </w:r>
          </w:p>
        </w:tc>
        <w:tc>
          <w:tcPr>
            <w:tcW w:type="dxa" w:w="2592"/>
            <w:vAlign w:val="center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Programa en español</w:t>
            </w:r>
          </w:p>
        </w:tc>
        <w:tc>
          <w:tcPr>
            <w:tcW w:type="dxa" w:w="2592"/>
            <w:vAlign w:val="center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Importe</w:t>
            </w:r>
          </w:p>
        </w:tc>
      </w:tr>
      <w:tr>
        <w:tc>
          <w:tcPr>
            <w:tcW w:type="dxa" w:w="9936"/>
            <w:gridSpan w:val="4"/>
            <w:vAlign w:val="center"/>
            <w:shd w:fill="D9EA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Administration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Management &amp; administrative services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$125,000</w:t>
            </w:r>
          </w:p>
        </w:tc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Servicios de administración y gestión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$125,000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Insurance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$98,000</w:t>
            </w:r>
          </w:p>
        </w:tc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Seguros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$98,000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Legal &amp; accounting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$42,000</w:t>
            </w:r>
          </w:p>
        </w:tc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Servicios legales y contables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$42,000</w:t>
            </w:r>
          </w:p>
        </w:tc>
      </w:tr>
      <w:tr>
        <w:tc>
          <w:tcPr>
            <w:tcW w:type="dxa" w:w="9936"/>
            <w:gridSpan w:val="4"/>
            <w:vAlign w:val="center"/>
            <w:shd w:fill="F3F6F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6"/>
              </w:rPr>
              <w:t>Subtotal | Administration  $265,000</w:t>
            </w:r>
          </w:p>
        </w:tc>
      </w:tr>
      <w:tr>
        <w:tc>
          <w:tcPr>
            <w:tcW w:type="dxa" w:w="9936"/>
            <w:gridSpan w:val="4"/>
            <w:vAlign w:val="center"/>
            <w:shd w:fill="D9EA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Utilities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Electricity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$185,000</w:t>
            </w:r>
          </w:p>
        </w:tc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Electricidad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$185,000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Water &amp; sewer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$74,000</w:t>
            </w:r>
          </w:p>
        </w:tc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Agua y alcantarillado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$74,000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Waste removal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$32,000</w:t>
            </w:r>
          </w:p>
        </w:tc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Recolección de residuos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$32,000</w:t>
            </w:r>
          </w:p>
        </w:tc>
      </w:tr>
      <w:tr>
        <w:tc>
          <w:tcPr>
            <w:tcW w:type="dxa" w:w="9936"/>
            <w:gridSpan w:val="4"/>
            <w:vAlign w:val="center"/>
            <w:shd w:fill="F3F6F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6"/>
              </w:rPr>
              <w:t>Subtotal | Utilities  $291,000</w:t>
            </w:r>
          </w:p>
        </w:tc>
      </w:tr>
      <w:tr>
        <w:tc>
          <w:tcPr>
            <w:tcW w:type="dxa" w:w="9936"/>
            <w:gridSpan w:val="4"/>
            <w:vAlign w:val="center"/>
            <w:shd w:fill="D9EA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>Maintenance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Janitorial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$96,000</w:t>
            </w:r>
          </w:p>
        </w:tc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Limpieza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$96,000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Landscaping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$58,000</w:t>
            </w:r>
          </w:p>
        </w:tc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Paisajismo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$58,000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Repairs &amp; maintenance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$110,000</w:t>
            </w:r>
          </w:p>
        </w:tc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Reparaciones y mantenimiento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$110,000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Elevator service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$52,000</w:t>
            </w:r>
          </w:p>
        </w:tc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Servicio de ascensores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$52,000</w:t>
            </w:r>
          </w:p>
        </w:tc>
      </w:tr>
      <w:tr>
        <w:tc>
          <w:tcPr>
            <w:tcW w:type="dxa" w:w="9936"/>
            <w:gridSpan w:val="4"/>
            <w:vAlign w:val="center"/>
            <w:shd w:fill="F3F6F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6"/>
              </w:rPr>
              <w:t>Subtotal | Maintenance  $316,000</w:t>
            </w:r>
          </w:p>
        </w:tc>
      </w:tr>
      <w:tr>
        <w:tc>
          <w:tcPr>
            <w:tcW w:type="dxa" w:w="9936"/>
            <w:gridSpan w:val="4"/>
            <w:vAlign w:val="center"/>
            <w:shd w:fill="D9EAF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color w:val="1F4E79"/>
                <w:sz w:val="16"/>
              </w:rPr>
              <w:t>Assessment-offset income | Ingresos que compensan cuotas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Interest income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$12,000</w:t>
            </w:r>
          </w:p>
        </w:tc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Ingresos por intereses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$12,000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Laundry income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$18,000</w:t>
            </w:r>
          </w:p>
        </w:tc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Ingresos de lavandería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$18,000</w:t>
            </w:r>
          </w:p>
        </w:tc>
      </w:tr>
      <w:tr>
        <w:tc>
          <w:tcPr>
            <w:tcW w:type="dxa" w:w="9936"/>
            <w:gridSpan w:val="4"/>
            <w:vAlign w:val="center"/>
            <w:shd w:fill="F3F6F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6"/>
              </w:rPr>
              <w:t>Subtotal | Assessment-offset income  $30,000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Total operating expense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$872,000</w:t>
            </w:r>
          </w:p>
        </w:tc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Gasto operativo total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$872,000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Approved reserve contribution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$210,000</w:t>
            </w:r>
          </w:p>
        </w:tc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Contribución aprobada a reservas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$210,000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Assessment-offset income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$-30,000</w:t>
            </w:r>
          </w:p>
        </w:tc>
        <w:tc>
          <w:tcPr>
            <w:tcW w:type="dxa" w:w="3312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Ingresos que compensan cuotas</w:t>
            </w:r>
          </w:p>
        </w:tc>
        <w:tc>
          <w:tcPr>
            <w:tcW w:type="dxa" w:w="165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$-30,000</w:t>
            </w:r>
          </w:p>
        </w:tc>
      </w:tr>
      <w:tr>
        <w:tc>
          <w:tcPr>
            <w:tcW w:type="dxa" w:w="3312"/>
            <w:vAlign w:val="center"/>
            <w:shd w:fill="FFF2CC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6"/>
              </w:rPr>
              <w:t>Net assessment requirement</w:t>
            </w:r>
          </w:p>
        </w:tc>
        <w:tc>
          <w:tcPr>
            <w:tcW w:type="dxa" w:w="1656"/>
            <w:vAlign w:val="center"/>
            <w:shd w:fill="FFF2CC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6"/>
              </w:rPr>
              <w:t>$1,052,000</w:t>
            </w:r>
          </w:p>
        </w:tc>
        <w:tc>
          <w:tcPr>
            <w:tcW w:type="dxa" w:w="3312"/>
            <w:vAlign w:val="center"/>
            <w:shd w:fill="FFF2CC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6"/>
              </w:rPr>
              <w:t>Requisito neto de cuotas</w:t>
            </w:r>
          </w:p>
        </w:tc>
        <w:tc>
          <w:tcPr>
            <w:tcW w:type="dxa" w:w="1656"/>
            <w:vAlign w:val="center"/>
            <w:shd w:fill="FFF2CC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6"/>
              </w:rPr>
              <w:t>$1,052,000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Annual Assessment by Unit Class</w:t>
            </w:r>
          </w:p>
        </w:tc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20"/>
              </w:rPr>
              <w:t>Cuota anual por clase de unidad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annual assessment is allocated using the approved unit-class factors. The PH class uses the approved reduced assessability treatment.</w:t>
            </w:r>
          </w:p>
        </w:tc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 cuota anual se distribuye usando los factores aprobados por clase de unidad. La clase PH utiliza el tratamiento aprobado de capacidad reducida para cuotas.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36"/>
        <w:gridCol w:w="1440"/>
        <w:gridCol w:w="1440"/>
        <w:gridCol w:w="1440"/>
        <w:gridCol w:w="936"/>
        <w:gridCol w:w="1440"/>
        <w:gridCol w:w="1440"/>
      </w:tblGrid>
      <w:tr>
        <w:tc>
          <w:tcPr>
            <w:tcW w:type="dxa" w:w="1296"/>
            <w:vAlign w:val="center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Class</w:t>
            </w:r>
          </w:p>
        </w:tc>
        <w:tc>
          <w:tcPr>
            <w:tcW w:type="dxa" w:w="1296"/>
            <w:vAlign w:val="center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Units</w:t>
            </w:r>
          </w:p>
        </w:tc>
        <w:tc>
          <w:tcPr>
            <w:tcW w:type="dxa" w:w="1296"/>
            <w:vAlign w:val="center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Factor</w:t>
            </w:r>
          </w:p>
        </w:tc>
        <w:tc>
          <w:tcPr>
            <w:tcW w:type="dxa" w:w="1296"/>
            <w:vAlign w:val="center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Points</w:t>
            </w:r>
          </w:p>
        </w:tc>
        <w:tc>
          <w:tcPr>
            <w:tcW w:type="dxa" w:w="1296"/>
            <w:vAlign w:val="center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Clase</w:t>
            </w:r>
          </w:p>
        </w:tc>
        <w:tc>
          <w:tcPr>
            <w:tcW w:type="dxa" w:w="1296"/>
            <w:vAlign w:val="center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Unidades</w:t>
            </w:r>
          </w:p>
        </w:tc>
        <w:tc>
          <w:tcPr>
            <w:tcW w:type="dxa" w:w="1296"/>
            <w:vAlign w:val="center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Factor</w:t>
            </w:r>
          </w:p>
        </w:tc>
        <w:tc>
          <w:tcPr>
            <w:tcW w:type="dxa" w:w="1296"/>
            <w:vAlign w:val="center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Puntos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A1</w:t>
            </w:r>
          </w:p>
        </w:tc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120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1.00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120.00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A1</w:t>
            </w:r>
          </w:p>
        </w:tc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120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1.00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120.00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B1</w:t>
            </w:r>
          </w:p>
        </w:tc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1.25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100.00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B1</w:t>
            </w:r>
          </w:p>
        </w:tc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1.25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100.00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C1</w:t>
            </w:r>
          </w:p>
        </w:tc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1.50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60.00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C1</w:t>
            </w:r>
          </w:p>
        </w:tc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1.50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60.00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</w:t>
            </w:r>
          </w:p>
        </w:tc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1.00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10.00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</w:t>
            </w:r>
          </w:p>
        </w:tc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1.00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10.00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Total assessable points</w:t>
            </w:r>
          </w:p>
        </w:tc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290.00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Total de puntos evaluables</w:t>
            </w:r>
          </w:p>
        </w:tc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290.00</w:t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Rate per point</w:t>
            </w:r>
          </w:p>
        </w:tc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$3,627.59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Tarifa por punto</w:t>
            </w:r>
          </w:p>
        </w:tc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$3,627.59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</w:r>
          </w:p>
        </w:tc>
      </w:tr>
      <w:tr>
        <w:tc>
          <w:tcPr>
            <w:tcW w:type="dxa" w:w="1440"/>
            <w:vAlign w:val="center"/>
            <w:shd w:fill="5B9BD5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Class</w:t>
            </w:r>
          </w:p>
        </w:tc>
        <w:tc>
          <w:tcPr>
            <w:tcW w:type="dxa" w:w="936"/>
            <w:vAlign w:val="center"/>
            <w:shd w:fill="5B9BD5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Annual / unit</w:t>
            </w:r>
          </w:p>
        </w:tc>
        <w:tc>
          <w:tcPr>
            <w:tcW w:type="dxa" w:w="1440"/>
            <w:vAlign w:val="center"/>
            <w:shd w:fill="5B9BD5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Monthly</w:t>
            </w:r>
          </w:p>
        </w:tc>
        <w:tc>
          <w:tcPr>
            <w:tcW w:type="dxa" w:w="1440"/>
            <w:vAlign w:val="center"/>
            <w:shd w:fill="5B9BD5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</w:r>
          </w:p>
        </w:tc>
        <w:tc>
          <w:tcPr>
            <w:tcW w:type="dxa" w:w="1440"/>
            <w:vAlign w:val="center"/>
            <w:shd w:fill="5B9BD5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Clase</w:t>
            </w:r>
          </w:p>
        </w:tc>
        <w:tc>
          <w:tcPr>
            <w:tcW w:type="dxa" w:w="936"/>
            <w:vAlign w:val="center"/>
            <w:shd w:fill="5B9BD5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Anual / unidad</w:t>
            </w:r>
          </w:p>
        </w:tc>
        <w:tc>
          <w:tcPr>
            <w:tcW w:type="dxa" w:w="1440"/>
            <w:vAlign w:val="center"/>
            <w:shd w:fill="5B9BD5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Mensual</w:t>
            </w:r>
          </w:p>
        </w:tc>
        <w:tc>
          <w:tcPr>
            <w:tcW w:type="dxa" w:w="1440"/>
            <w:vAlign w:val="center"/>
            <w:shd w:fill="5B9BD5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A1</w:t>
            </w:r>
          </w:p>
        </w:tc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$3,628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$302.33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A1</w:t>
            </w:r>
          </w:p>
        </w:tc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$3,628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$302.33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B1</w:t>
            </w:r>
          </w:p>
        </w:tc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$4,534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$377.83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B1</w:t>
            </w:r>
          </w:p>
        </w:tc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$4,534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$377.83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C1</w:t>
            </w:r>
          </w:p>
        </w:tc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$5,441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$453.42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C1</w:t>
            </w:r>
          </w:p>
        </w:tc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$5,441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$453.42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</w:t>
            </w:r>
          </w:p>
        </w:tc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$3,628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$302.33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PH</w:t>
            </w:r>
          </w:p>
        </w:tc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$3,628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$302.33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Reconstructed billed total</w:t>
            </w:r>
          </w:p>
        </w:tc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$1,052,000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Total facturado reconstruido</w:t>
            </w:r>
          </w:p>
        </w:tc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  <w:t>$1,052,000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4"/>
              </w:rPr>
            </w:r>
          </w:p>
        </w:tc>
      </w:tr>
      <w:tr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Rounding reconciliation</w:t>
            </w:r>
          </w:p>
        </w:tc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$0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Conciliación por redondeo</w:t>
            </w:r>
          </w:p>
        </w:tc>
        <w:tc>
          <w:tcPr>
            <w:tcW w:type="dxa" w:w="936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$0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20"/>
              </w:rPr>
              <w:t>Reserve Projection</w:t>
            </w:r>
          </w:p>
        </w:tc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Proyección de reservas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reserve projection uses the approved opening balance, contribution, interest, and planned component expenditures.</w:t>
            </w:r>
          </w:p>
        </w:tc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 proyección de reservas utiliza el saldo inicial, la contribución, los intereses y los gastos planificados por componente aprobados.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1440"/>
        <w:gridCol w:w="3528"/>
        <w:gridCol w:w="1440"/>
      </w:tblGrid>
      <w:tr>
        <w:tc>
          <w:tcPr>
            <w:tcW w:type="dxa" w:w="2592"/>
            <w:vAlign w:val="center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Reserve item</w:t>
            </w:r>
          </w:p>
        </w:tc>
        <w:tc>
          <w:tcPr>
            <w:tcW w:type="dxa" w:w="2592"/>
            <w:vAlign w:val="center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Amount</w:t>
            </w:r>
          </w:p>
        </w:tc>
        <w:tc>
          <w:tcPr>
            <w:tcW w:type="dxa" w:w="2592"/>
            <w:vAlign w:val="center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Partida de reserva</w:t>
            </w:r>
          </w:p>
        </w:tc>
        <w:tc>
          <w:tcPr>
            <w:tcW w:type="dxa" w:w="2592"/>
            <w:vAlign w:val="center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Importe</w:t>
            </w:r>
          </w:p>
        </w:tc>
      </w:tr>
      <w:tr>
        <w:tc>
          <w:tcPr>
            <w:tcW w:type="dxa" w:w="35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Opening reserve balance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$1,480,000</w:t>
            </w:r>
          </w:p>
        </w:tc>
        <w:tc>
          <w:tcPr>
            <w:tcW w:type="dxa" w:w="35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Saldo inicial de reservas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$1,480,000</w:t>
            </w:r>
          </w:p>
        </w:tc>
      </w:tr>
      <w:tr>
        <w:tc>
          <w:tcPr>
            <w:tcW w:type="dxa" w:w="35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Approved contribution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$210,000</w:t>
            </w:r>
          </w:p>
        </w:tc>
        <w:tc>
          <w:tcPr>
            <w:tcW w:type="dxa" w:w="35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Contribución aprobada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$210,000</w:t>
            </w:r>
          </w:p>
        </w:tc>
      </w:tr>
      <w:tr>
        <w:tc>
          <w:tcPr>
            <w:tcW w:type="dxa" w:w="35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Projected interest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$18,500</w:t>
            </w:r>
          </w:p>
        </w:tc>
        <w:tc>
          <w:tcPr>
            <w:tcW w:type="dxa" w:w="35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Intereses proyectados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$18,500</w:t>
            </w:r>
          </w:p>
        </w:tc>
      </w:tr>
      <w:tr>
        <w:tc>
          <w:tcPr>
            <w:tcW w:type="dxa" w:w="35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Planned expenditures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$235,000</w:t>
            </w:r>
          </w:p>
        </w:tc>
        <w:tc>
          <w:tcPr>
            <w:tcW w:type="dxa" w:w="3528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Gastos planificados</w:t>
            </w:r>
          </w:p>
        </w:tc>
        <w:tc>
          <w:tcPr>
            <w:tcW w:type="dxa" w:w="1440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$235,000</w:t>
            </w:r>
          </w:p>
        </w:tc>
      </w:tr>
      <w:tr>
        <w:tc>
          <w:tcPr>
            <w:tcW w:type="dxa" w:w="3528"/>
            <w:vAlign w:val="center"/>
            <w:shd w:fill="F3F6F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6"/>
              </w:rPr>
              <w:t>Projected ending balance</w:t>
            </w:r>
          </w:p>
        </w:tc>
        <w:tc>
          <w:tcPr>
            <w:tcW w:type="dxa" w:w="1440"/>
            <w:vAlign w:val="center"/>
            <w:shd w:fill="F3F6F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6"/>
              </w:rPr>
              <w:t>$1,473,500</w:t>
            </w:r>
          </w:p>
        </w:tc>
        <w:tc>
          <w:tcPr>
            <w:tcW w:type="dxa" w:w="3528"/>
            <w:vAlign w:val="center"/>
            <w:shd w:fill="F3F6F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6"/>
              </w:rPr>
              <w:t>Saldo final proyectado</w:t>
            </w:r>
          </w:p>
        </w:tc>
        <w:tc>
          <w:tcPr>
            <w:tcW w:type="dxa" w:w="1440"/>
            <w:vAlign w:val="center"/>
            <w:shd w:fill="F3F6F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6"/>
              </w:rPr>
              <w:t>$1,473,500</w:t>
            </w:r>
          </w:p>
        </w:tc>
      </w:tr>
      <w:tr>
        <w:tc>
          <w:tcPr>
            <w:tcW w:type="dxa" w:w="3528"/>
            <w:vAlign w:val="center"/>
            <w:shd w:fill="F3F6F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6"/>
              </w:rPr>
              <w:t>Fully funded balance</w:t>
            </w:r>
          </w:p>
        </w:tc>
        <w:tc>
          <w:tcPr>
            <w:tcW w:type="dxa" w:w="1440"/>
            <w:vAlign w:val="center"/>
            <w:shd w:fill="F3F6F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6"/>
              </w:rPr>
              <w:t>$2,450,000</w:t>
            </w:r>
          </w:p>
        </w:tc>
        <w:tc>
          <w:tcPr>
            <w:tcW w:type="dxa" w:w="3528"/>
            <w:vAlign w:val="center"/>
            <w:shd w:fill="F3F6F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6"/>
              </w:rPr>
              <w:t>Saldo totalmente financiado</w:t>
            </w:r>
          </w:p>
        </w:tc>
        <w:tc>
          <w:tcPr>
            <w:tcW w:type="dxa" w:w="1440"/>
            <w:vAlign w:val="center"/>
            <w:shd w:fill="F3F6F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/>
            </w:pPr>
            <w:r/>
            <w:r>
              <w:rPr>
                <w:b/>
                <w:sz w:val="16"/>
              </w:rPr>
              <w:t>$2,450,000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Projected reserves are $1,473,500, or 60.1% of the $2,450,000 fully funded balance.</w:t>
            </w:r>
          </w:p>
        </w:tc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Las reservas proyectadas son $1,473,500, o 60.1% del saldo totalmente financiado de $2,450,000.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Questions may be directed to Frida Dunbar at (310) 555-0148 or frida.dunbar@dunmarrow.example.</w:t>
            </w:r>
          </w:p>
        </w:tc>
        <w:tc>
          <w:tcPr>
            <w:tcW w:type="dxa" w:w="518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  <w:vAlign w:val="center"/>
            <w:shd w:fill="FFFFFF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Las preguntas pueden dirigirse a Frida Dunbar al (310) 555-0148 o frida.dunbar@dunmarrow.example.</w:t>
            </w:r>
          </w:p>
        </w:tc>
      </w:tr>
    </w:tbl>
    <w:p>
      <w:pPr>
        <w:spacing w:after="20"/>
      </w:pPr>
    </w:p>
    <w:p>
      <w:pPr>
        <w:spacing w:before="160" w:after="60"/>
      </w:pPr>
      <w:r>
        <w:rPr>
          <w:b/>
          <w:color w:val="C0504D"/>
          <w:sz w:val="18"/>
        </w:rPr>
        <w:t>INTERNAL PRODUCTION NOTE | NOT FOR OWNER MAILING</w:t>
      </w:r>
    </w:p>
    <w:p>
      <w:pPr>
        <w:spacing w:after="0"/>
      </w:pPr>
      <w:r>
        <w:rPr>
          <w:b/>
        </w:rPr>
        <w:t xml:space="preserve">Source cleanup: </w:t>
      </w:r>
      <w:r>
        <w:t>Current and prior schedule records were de-duplicated by distinct Schedule Entry ID before subtotals and comparisons. Unit-class joins trim whitespace and ignore case; display codes remain as supplied. The approved PH reduced assessability multiplier was applied. The additional current-year Elevator service / Servicio de ascensores line was placed under Maintenance in the mirrored schedule and kept as one posting. Table widths and compact type were rebalanced to keep each English/Spanish pair aligned; no financial or policy assumptions were introduced.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