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180" w:lineRule="exact"/>
      </w:pPr>
      <w:r>
        <w:rPr>
          <w:rFonts w:ascii="Arial" w:hAnsi="Arial" w:eastAsia="Arial"/>
          <w:b/>
          <w:i w:val="0"/>
          <w:color w:val="087E8B"/>
          <w:sz w:val="15"/>
        </w:rPr>
        <w:t>FRONTLINE EXECUTION BRIEF</w:t>
      </w:r>
    </w:p>
    <w:p>
      <w:pPr>
        <w:pStyle w:val="Title"/>
        <w:spacing w:before="0" w:after="20" w:line="380" w:lineRule="exact"/>
      </w:pPr>
      <w:r>
        <w:rPr>
          <w:rFonts w:ascii="Arial" w:hAnsi="Arial" w:eastAsia="Arial"/>
          <w:b/>
          <w:i w:val="0"/>
          <w:color w:val="17324D"/>
          <w:sz w:val="36"/>
        </w:rPr>
        <w:t>Board decision handoff: disputed move-out case</w:t>
      </w:r>
    </w:p>
    <w:p>
      <w:pPr>
        <w:spacing w:before="0" w:after="40" w:line="186" w:lineRule="exact"/>
      </w:pPr>
      <w:r>
        <w:rPr>
          <w:rFonts w:ascii="Arial" w:hAnsi="Arial" w:eastAsia="Arial"/>
          <w:b/>
          <w:i w:val="0"/>
          <w:color w:val="18212B"/>
          <w:sz w:val="16"/>
        </w:rPr>
        <w:t>For Idris Tikhonov | Dalefield Foundry | Yarrowfield Energy / Cecilia Montague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1082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space="0" w:color="A12B35"/>
              <w:left w:val="single" w:sz="5" w:space="0" w:color="A12B35"/>
              <w:bottom w:val="single" w:sz="5" w:space="0" w:color="A12B35"/>
              <w:right w:val="single" w:sz="5" w:space="0" w:color="A12B35"/>
            </w:tcBorders>
            <w:shd w:fill="FBEAEC"/>
          </w:tcPr>
          <w:p>
            <w:pPr>
              <w:spacing w:before="0" w:after="0" w:line="186" w:lineRule="exact"/>
            </w:pPr>
            <w:r>
              <w:rPr>
                <w:rFonts w:ascii="Arial" w:hAnsi="Arial" w:eastAsia="Arial"/>
                <w:b/>
                <w:i w:val="0"/>
                <w:color w:val="A12B35"/>
                <w:sz w:val="16"/>
              </w:rPr>
              <w:t xml:space="preserve">START CONDITION  </w:t>
            </w:r>
            <w:r>
              <w:rPr>
                <w:rFonts w:ascii="Arial" w:hAnsi="Arial" w:eastAsia="Arial"/>
                <w:b w:val="0"/>
                <w:i w:val="0"/>
                <w:color w:val="18212B"/>
                <w:sz w:val="16"/>
              </w:rPr>
              <w:t>Execution begins only after the Dalefield Foundry Board decision is recorded. Do not act on a verbal or assumed option.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1082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space="0" w:color="E4C36A"/>
              <w:left w:val="single" w:sz="5" w:space="0" w:color="E4C36A"/>
              <w:bottom w:val="single" w:sz="5" w:space="0" w:color="E4C36A"/>
              <w:right w:val="single" w:sz="5" w:space="0" w:color="E4C36A"/>
            </w:tcBorders>
            <w:shd w:fill="FFF4D6"/>
          </w:tcPr>
          <w:p>
            <w:pPr>
              <w:spacing w:before="0" w:after="0" w:line="186" w:lineRule="exact"/>
            </w:pPr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 xml:space="preserve">BOARD-PACK CUTOFF  </w:t>
            </w:r>
            <w:r>
              <w:rPr>
                <w:rFonts w:ascii="Arial" w:hAnsi="Arial" w:eastAsia="Arial"/>
                <w:b w:val="0"/>
                <w:i w:val="0"/>
                <w:color w:val="18212B"/>
                <w:sz w:val="15"/>
              </w:rPr>
              <w:t>Noon Friday. The current financial position is the 11 October ledger position; use this cutoff for the decision record and any open-work handoff.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  <w:b/>
          <w:i w:val="0"/>
          <w:color w:val="17324D"/>
          <w:sz w:val="18"/>
        </w:rPr>
        <w:t>1. Confirm before changing the case</w:t>
      </w:r>
    </w:p>
    <w:p>
      <w:pPr>
        <w:spacing w:before="0" w:after="6" w:line="182" w:lineRule="exact"/>
        <w:ind w:left="181" w:hanging="125"/>
      </w:pPr>
      <w:r>
        <w:rPr>
          <w:rFonts w:ascii="Arial" w:hAnsi="Arial" w:eastAsia="Arial"/>
          <w:b/>
          <w:i w:val="0"/>
          <w:color w:val="087E8B"/>
          <w:sz w:val="16"/>
        </w:rPr>
        <w:t xml:space="preserve">• </w:t>
      </w:r>
      <w:r>
        <w:rPr>
          <w:rFonts w:ascii="Arial" w:hAnsi="Arial" w:eastAsia="Arial"/>
          <w:b/>
          <w:i w:val="0"/>
          <w:color w:val="17324D"/>
          <w:sz w:val="16"/>
        </w:rPr>
        <w:t xml:space="preserve">Identity. </w:t>
      </w:r>
      <w:r>
        <w:rPr>
          <w:rFonts w:ascii="Arial" w:hAnsi="Arial" w:eastAsia="Arial"/>
          <w:b w:val="0"/>
          <w:i w:val="0"/>
          <w:color w:val="18212B"/>
          <w:sz w:val="16"/>
        </w:rPr>
        <w:t>Confirm Yarrowfield Energy, Cecilia Montague, the correct tenancy / case, and the current case-record version.</w:t>
      </w:r>
    </w:p>
    <w:p>
      <w:pPr>
        <w:spacing w:before="0" w:after="6" w:line="182" w:lineRule="exact"/>
        <w:ind w:left="181" w:hanging="125"/>
      </w:pPr>
      <w:r>
        <w:rPr>
          <w:rFonts w:ascii="Arial" w:hAnsi="Arial" w:eastAsia="Arial"/>
          <w:b/>
          <w:i w:val="0"/>
          <w:color w:val="087E8B"/>
          <w:sz w:val="16"/>
        </w:rPr>
        <w:t xml:space="preserve">• </w:t>
      </w:r>
      <w:r>
        <w:rPr>
          <w:rFonts w:ascii="Arial" w:hAnsi="Arial" w:eastAsia="Arial"/>
          <w:b/>
          <w:i w:val="0"/>
          <w:color w:val="17324D"/>
          <w:sz w:val="16"/>
        </w:rPr>
        <w:t xml:space="preserve">Decision. </w:t>
      </w:r>
      <w:r>
        <w:rPr>
          <w:rFonts w:ascii="Arial" w:hAnsi="Arial" w:eastAsia="Arial"/>
          <w:b w:val="0"/>
          <w:i w:val="0"/>
          <w:color w:val="18212B"/>
          <w:sz w:val="16"/>
        </w:rPr>
        <w:t>Confirm selected Option A or B, Board decision owner / authority, decision time, conditions, and the approved communication timing.</w:t>
      </w:r>
    </w:p>
    <w:p>
      <w:pPr>
        <w:spacing w:before="0" w:after="6" w:line="182" w:lineRule="exact"/>
        <w:ind w:left="181" w:hanging="125"/>
      </w:pPr>
      <w:r>
        <w:rPr>
          <w:rFonts w:ascii="Arial" w:hAnsi="Arial" w:eastAsia="Arial"/>
          <w:b/>
          <w:i w:val="0"/>
          <w:color w:val="087E8B"/>
          <w:sz w:val="16"/>
        </w:rPr>
        <w:t xml:space="preserve">• </w:t>
      </w:r>
      <w:r>
        <w:rPr>
          <w:rFonts w:ascii="Arial" w:hAnsi="Arial" w:eastAsia="Arial"/>
          <w:b/>
          <w:i w:val="0"/>
          <w:color w:val="17324D"/>
          <w:sz w:val="16"/>
        </w:rPr>
        <w:t xml:space="preserve">Preserve. </w:t>
      </w:r>
      <w:r>
        <w:rPr>
          <w:rFonts w:ascii="Arial" w:hAnsi="Arial" w:eastAsia="Arial"/>
          <w:b w:val="0"/>
          <w:i w:val="0"/>
          <w:color w:val="18212B"/>
          <w:sz w:val="16"/>
        </w:rPr>
        <w:t>Retain the 4 October statement, 11 October ledger, Callum Falconer's incident-log evidence, Genevieve Jankowski's comments, original safety allegation, and superseded versions. Do not overwrite source history.</w:t>
      </w:r>
    </w:p>
    <w:p>
      <w:pPr>
        <w:spacing w:before="0" w:after="6" w:line="182" w:lineRule="exact"/>
        <w:ind w:left="181" w:hanging="125"/>
      </w:pPr>
      <w:r>
        <w:rPr>
          <w:rFonts w:ascii="Arial" w:hAnsi="Arial" w:eastAsia="Arial"/>
          <w:b/>
          <w:i w:val="0"/>
          <w:color w:val="087E8B"/>
          <w:sz w:val="16"/>
        </w:rPr>
        <w:t xml:space="preserve">• </w:t>
      </w:r>
      <w:r>
        <w:rPr>
          <w:rFonts w:ascii="Arial" w:hAnsi="Arial" w:eastAsia="Arial"/>
          <w:b/>
          <w:i w:val="0"/>
          <w:color w:val="17324D"/>
          <w:sz w:val="16"/>
        </w:rPr>
        <w:t xml:space="preserve">Authority. </w:t>
      </w:r>
      <w:r>
        <w:rPr>
          <w:rFonts w:ascii="Arial" w:hAnsi="Arial" w:eastAsia="Arial"/>
          <w:b w:val="0"/>
          <w:i w:val="0"/>
          <w:color w:val="18212B"/>
          <w:sz w:val="16"/>
        </w:rPr>
        <w:t>You may correct a supported case-record amount or status and place / preserve a disputed-item hold. You may not waive, write off, forgive, or delete a charge; that needs separate written authority.</w:t>
      </w:r>
    </w:p>
    <w:p>
      <w:pPr>
        <w:pStyle w:val="Heading2"/>
        <w:keepNext/>
      </w:pPr>
      <w:r>
        <w:rPr>
          <w:rFonts w:ascii="Arial" w:hAnsi="Arial" w:eastAsia="Arial"/>
          <w:b/>
          <w:i w:val="0"/>
          <w:color w:val="17324D"/>
          <w:sz w:val="18"/>
        </w:rPr>
        <w:t>Case facts to carry into the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572"/>
        <w:gridCol w:w="3005"/>
      </w:tblGrid>
      <w:tr>
        <w:trPr>
          <w:tblHeader w:val="true"/>
        </w:trPr>
        <w:tc>
          <w:tcPr>
            <w:tcW w:type="dxa" w:w="3607"/>
            <w:shd w:fill="EAF3F6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170" w:lineRule="exact"/>
            </w:pPr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>Case fact</w:t>
            </w:r>
          </w:p>
        </w:tc>
        <w:tc>
          <w:tcPr>
            <w:tcW w:type="dxa" w:w="3607"/>
            <w:shd w:fill="EAF3F6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170" w:lineRule="exact"/>
            </w:pPr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>Status / source</w:t>
            </w:r>
          </w:p>
        </w:tc>
        <w:tc>
          <w:tcPr>
            <w:tcW w:type="dxa" w:w="3607"/>
            <w:shd w:fill="EAF3F6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170" w:lineRule="exact"/>
            </w:pPr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>Date / meaning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168" w:lineRule="exact"/>
            </w:pPr>
            <w:r>
              <w:rPr>
                <w:rFonts w:ascii="Arial" w:hAnsi="Arial" w:eastAsia="Arial"/>
                <w:b/>
                <w:i w:val="0"/>
                <w:color w:val="18212B"/>
                <w:sz w:val="14"/>
              </w:rPr>
              <w:t>Original statement: £1,860</w:t>
            </w:r>
          </w:p>
        </w:tc>
        <w:tc>
          <w:tcPr>
            <w:tcW w:type="dxa" w:w="3572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168" w:lineRule="exact"/>
            </w:pP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Original customer statement</w:t>
            </w:r>
          </w:p>
        </w:tc>
        <w:tc>
          <w:tcPr>
            <w:tcW w:type="dxa" w:w="3005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168" w:lineRule="exact"/>
            </w:pP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4 October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168" w:lineRule="exact"/>
            </w:pPr>
            <w:r>
              <w:rPr>
                <w:rFonts w:ascii="Arial" w:hAnsi="Arial" w:eastAsia="Arial"/>
                <w:b/>
                <w:i w:val="0"/>
                <w:color w:val="18212B"/>
                <w:sz w:val="14"/>
              </w:rPr>
              <w:t>Ledger credits: -£620</w:t>
            </w:r>
          </w:p>
        </w:tc>
        <w:tc>
          <w:tcPr>
            <w:tcW w:type="dxa" w:w="3572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168" w:lineRule="exact"/>
            </w:pP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Between-period ledger movement</w:t>
            </w:r>
          </w:p>
        </w:tc>
        <w:tc>
          <w:tcPr>
            <w:tcW w:type="dxa" w:w="3005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168" w:lineRule="exact"/>
            </w:pP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4 to 11 October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45" w:type="dxa"/>
              <w:start w:w="70" w:type="dxa"/>
              <w:bottom w:w="45" w:type="dxa"/>
              <w:end w:w="70" w:type="dxa"/>
            </w:tcMar>
            <w:shd w:fill="E7F3F1"/>
          </w:tcPr>
          <w:p>
            <w:pPr>
              <w:spacing w:before="0" w:after="0" w:line="168" w:lineRule="exact"/>
            </w:pPr>
            <w:r>
              <w:rPr>
                <w:rFonts w:ascii="Arial" w:hAnsi="Arial" w:eastAsia="Arial"/>
                <w:b/>
                <w:i w:val="0"/>
                <w:color w:val="18212B"/>
                <w:sz w:val="14"/>
              </w:rPr>
              <w:t>Current ledger: £1,240</w:t>
            </w:r>
          </w:p>
        </w:tc>
        <w:tc>
          <w:tcPr>
            <w:tcW w:type="dxa" w:w="3572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45" w:type="dxa"/>
              <w:start w:w="70" w:type="dxa"/>
              <w:bottom w:w="45" w:type="dxa"/>
              <w:end w:w="70" w:type="dxa"/>
            </w:tcMar>
            <w:shd w:fill="E7F3F1"/>
          </w:tcPr>
          <w:p>
            <w:pPr>
              <w:spacing w:before="0" w:after="0" w:line="168" w:lineRule="exact"/>
            </w:pP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Posted position; ledger</w:t>
            </w:r>
          </w:p>
        </w:tc>
        <w:tc>
          <w:tcPr>
            <w:tcW w:type="dxa" w:w="3005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45" w:type="dxa"/>
              <w:start w:w="70" w:type="dxa"/>
              <w:bottom w:w="45" w:type="dxa"/>
              <w:end w:w="70" w:type="dxa"/>
            </w:tcMar>
            <w:shd w:fill="E7F3F1"/>
          </w:tcPr>
          <w:p>
            <w:pPr>
              <w:spacing w:before="0" w:after="0" w:line="168" w:lineRule="exact"/>
            </w:pP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11 October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168" w:lineRule="exact"/>
            </w:pPr>
            <w:r>
              <w:rPr>
                <w:rFonts w:ascii="Arial" w:hAnsi="Arial" w:eastAsia="Arial"/>
                <w:b/>
                <w:i w:val="0"/>
                <w:color w:val="18212B"/>
                <w:sz w:val="14"/>
              </w:rPr>
              <w:t>Substantiated: £980</w:t>
            </w:r>
          </w:p>
        </w:tc>
        <w:tc>
          <w:tcPr>
            <w:tcW w:type="dxa" w:w="3572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168" w:lineRule="exact"/>
            </w:pP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Callum Falconer's incident log</w:t>
            </w:r>
          </w:p>
        </w:tc>
        <w:tc>
          <w:tcPr>
            <w:tcW w:type="dxa" w:w="3005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168" w:lineRule="exact"/>
            </w:pP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Customer-assertable now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45" w:type="dxa"/>
              <w:start w:w="70" w:type="dxa"/>
              <w:bottom w:w="45" w:type="dxa"/>
              <w:end w:w="70" w:type="dxa"/>
            </w:tcMar>
            <w:shd w:fill="FBEAEC"/>
          </w:tcPr>
          <w:p>
            <w:pPr>
              <w:spacing w:before="0" w:after="0" w:line="168" w:lineRule="exact"/>
            </w:pPr>
            <w:r>
              <w:rPr>
                <w:rFonts w:ascii="Arial" w:hAnsi="Arial" w:eastAsia="Arial"/>
                <w:b/>
                <w:i w:val="0"/>
                <w:color w:val="18212B"/>
                <w:sz w:val="14"/>
              </w:rPr>
              <w:t>Disputed / held: £260</w:t>
            </w:r>
          </w:p>
        </w:tc>
        <w:tc>
          <w:tcPr>
            <w:tcW w:type="dxa" w:w="3572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45" w:type="dxa"/>
              <w:start w:w="70" w:type="dxa"/>
              <w:bottom w:w="45" w:type="dxa"/>
              <w:end w:w="70" w:type="dxa"/>
            </w:tcMar>
            <w:shd w:fill="FBEAEC"/>
          </w:tcPr>
          <w:p>
            <w:pPr>
              <w:spacing w:before="0" w:after="0" w:line="168" w:lineRule="exact"/>
            </w:pP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£1,240 - £980; not waived</w:t>
            </w:r>
          </w:p>
        </w:tc>
        <w:tc>
          <w:tcPr>
            <w:tcW w:type="dxa" w:w="3005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45" w:type="dxa"/>
              <w:start w:w="70" w:type="dxa"/>
              <w:bottom w:w="45" w:type="dxa"/>
              <w:end w:w="70" w:type="dxa"/>
            </w:tcMar>
            <w:shd w:fill="FBEAEC"/>
          </w:tcPr>
          <w:p>
            <w:pPr>
              <w:spacing w:before="0" w:after="0" w:line="168" w:lineRule="exact"/>
            </w:pP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Evidentiary gap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168" w:lineRule="exact"/>
            </w:pPr>
            <w:r>
              <w:rPr>
                <w:rFonts w:ascii="Arial" w:hAnsi="Arial" w:eastAsia="Arial"/>
                <w:b/>
                <w:i w:val="0"/>
                <w:color w:val="18212B"/>
                <w:sz w:val="14"/>
              </w:rPr>
              <w:t>Deposit held: £1,500</w:t>
            </w:r>
          </w:p>
        </w:tc>
        <w:tc>
          <w:tcPr>
            <w:tcW w:type="dxa" w:w="3572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168" w:lineRule="exact"/>
            </w:pP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Separate deposit record</w:t>
            </w:r>
          </w:p>
        </w:tc>
        <w:tc>
          <w:tcPr>
            <w:tcW w:type="dxa" w:w="3005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168" w:lineRule="exact"/>
            </w:pP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£260 above current ledger; distinct from gap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  <w:b/>
          <w:i w:val="0"/>
          <w:color w:val="17324D"/>
          <w:sz w:val="18"/>
        </w:rPr>
        <w:t>2. Run the safety path in parallel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1082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space="0" w:color="A12B35"/>
              <w:left w:val="single" w:sz="5" w:space="0" w:color="A12B35"/>
              <w:bottom w:val="single" w:sz="5" w:space="0" w:color="A12B35"/>
              <w:right w:val="single" w:sz="5" w:space="0" w:color="A12B35"/>
            </w:tcBorders>
            <w:shd w:fill="FBEAEC"/>
          </w:tcPr>
          <w:p>
            <w:pPr>
              <w:spacing w:before="0" w:after="0" w:line="186" w:lineRule="exact"/>
            </w:pPr>
            <w:r>
              <w:rPr>
                <w:rFonts w:ascii="Arial" w:hAnsi="Arial" w:eastAsia="Arial"/>
                <w:b/>
                <w:i w:val="0"/>
                <w:color w:val="A12B35"/>
                <w:sz w:val="15"/>
              </w:rPr>
              <w:t xml:space="preserve">IMMEDIATE SEPARATE REFERRAL  </w:t>
            </w:r>
            <w:r>
              <w:rPr>
                <w:rFonts w:ascii="Arial" w:hAnsi="Arial" w:eastAsia="Arial"/>
                <w:b w:val="0"/>
                <w:i w:val="0"/>
                <w:color w:val="18212B"/>
                <w:sz w:val="15"/>
              </w:rPr>
              <w:t>Cecilia alleges that a required fire-door inspection did not occur. Treat this as an unverified allegation. Its potential severity requires priority handling outside the charge queue. Preserve her original wording, received date/time, and related records; refer within 30 minutes to the Building Safety / Facilities Duty Manager. Log referral date/time, recipient role, and case link. This referral proceeds independently of Option A or B and does not alter charge arithmetic. Idris records, preserves, and escalates; Idris does not decide whether an inspection occurred or conduct a technical assessment.</w:t>
            </w:r>
          </w:p>
        </w:tc>
      </w:tr>
    </w:tbl>
    <w:p>
      <w:pPr>
        <w:spacing w:before="20" w:after="20" w:line="176" w:lineRule="exact"/>
      </w:pPr>
      <w:r>
        <w:rPr>
          <w:rFonts w:ascii="Arial" w:hAnsi="Arial" w:eastAsia="Arial"/>
          <w:b/>
          <w:i w:val="0"/>
          <w:color w:val="A12B35"/>
          <w:sz w:val="15"/>
        </w:rPr>
        <w:t xml:space="preserve">Safety acknowledgment: </w:t>
      </w:r>
      <w:r>
        <w:rPr>
          <w:rFonts w:ascii="Arial" w:hAnsi="Arial" w:eastAsia="Arial"/>
          <w:b w:val="0"/>
          <w:i w:val="0"/>
          <w:color w:val="18212B"/>
          <w:sz w:val="15"/>
        </w:rPr>
        <w:t>'We have received your allegation about a fire-door inspection and referred it for assessment. We cannot confirm an outcome at this stage.' Send only to the customer and roles with a need to know; do not state a failure, liability, breach, or resolution.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i w:val="0"/>
          <w:color w:val="17324D"/>
          <w:sz w:val="22"/>
        </w:rPr>
        <w:t>3. Execute the documented Board path</w:t>
      </w:r>
    </w:p>
    <w:p>
      <w:pPr>
        <w:spacing w:before="0" w:after="40" w:line="180" w:lineRule="exact"/>
      </w:pPr>
      <w:r>
        <w:rPr>
          <w:rFonts w:ascii="Arial" w:hAnsi="Arial" w:eastAsia="Arial"/>
          <w:b/>
          <w:i w:val="0"/>
          <w:color w:val="17324D"/>
          <w:sz w:val="15"/>
        </w:rPr>
        <w:t xml:space="preserve">For every update, capture: </w:t>
      </w:r>
      <w:r>
        <w:rPr>
          <w:rFonts w:ascii="Arial" w:hAnsi="Arial" w:eastAsia="Arial"/>
          <w:b w:val="0"/>
          <w:i w:val="0"/>
          <w:color w:val="18212B"/>
          <w:sz w:val="15"/>
        </w:rPr>
        <w:t>amount, evidentiary status, source, effective date, reason for change, and record version. Log action date/time, channel, recipient, and completing person / role.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c>
          <w:tcPr>
            <w:tcW w:type="dxa" w:w="5411"/>
            <w:shd w:fill="EAF3F6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178" w:lineRule="exact"/>
            </w:pPr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>BOARD OPTION A | ISSUE NOW</w:t>
            </w:r>
          </w:p>
          <w:p>
            <w:pPr>
              <w:spacing w:before="0" w:after="3" w:line="170" w:lineRule="exact"/>
              <w:ind w:left="108" w:hanging="108"/>
            </w:pPr>
            <w:r>
              <w:rPr>
                <w:rFonts w:ascii="Arial" w:hAnsi="Arial" w:eastAsia="Arial"/>
                <w:b/>
                <w:i w:val="0"/>
                <w:color w:val="087E8B"/>
                <w:sz w:val="14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7324D"/>
                <w:sz w:val="14"/>
              </w:rPr>
              <w:t xml:space="preserve">Record. </w:t>
            </w: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Enter £1,240 posted (ledger, 11 October); £980 substantiated (Callum Falconer incident log); and £260 disputed / held pending support. Preserve, do not delete.</w:t>
            </w:r>
          </w:p>
          <w:p>
            <w:pPr>
              <w:spacing w:before="0" w:after="3" w:line="170" w:lineRule="exact"/>
              <w:ind w:left="108" w:hanging="108"/>
            </w:pPr>
            <w:r>
              <w:rPr>
                <w:rFonts w:ascii="Arial" w:hAnsi="Arial" w:eastAsia="Arial"/>
                <w:b/>
                <w:i w:val="0"/>
                <w:color w:val="087E8B"/>
                <w:sz w:val="14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7324D"/>
                <w:sz w:val="14"/>
              </w:rPr>
              <w:t xml:space="preserve">Send. </w:t>
            </w: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Use the revised factual response below. State the reviewed figures and a next update; do not state the disputed amount as proven.</w:t>
            </w:r>
          </w:p>
          <w:p>
            <w:pPr>
              <w:spacing w:before="0" w:after="3" w:line="170" w:lineRule="exact"/>
              <w:ind w:left="108" w:hanging="108"/>
            </w:pPr>
            <w:r>
              <w:rPr>
                <w:rFonts w:ascii="Arial" w:hAnsi="Arial" w:eastAsia="Arial"/>
                <w:b/>
                <w:i w:val="0"/>
                <w:color w:val="087E8B"/>
                <w:sz w:val="14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7324D"/>
                <w:sz w:val="14"/>
              </w:rPr>
              <w:t xml:space="preserve">Handoff. </w:t>
            </w: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If evidence remains open, assign Review Lead: due 11:30 Friday; if past the cutoff, use the exception route and schedule 16:00 Friday.</w:t>
            </w:r>
          </w:p>
        </w:tc>
        <w:tc>
          <w:tcPr>
            <w:tcW w:type="dxa" w:w="5411"/>
            <w:shd w:fill="EAF3F6"/>
            <w:tcBorders>
              <w:top w:val="single" w:sz="5" w:space="0" w:color="C9D4DA"/>
              <w:left w:val="single" w:sz="5" w:space="0" w:color="C9D4DA"/>
              <w:bottom w:val="single" w:sz="5" w:space="0" w:color="C9D4DA"/>
              <w:right w:val="single" w:sz="5" w:space="0" w:color="C9D4DA"/>
            </w:tcBorders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20" w:line="178" w:lineRule="exact"/>
            </w:pPr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>BOARD OPTION B | DEFER; HOLDING MESSAGE</w:t>
            </w:r>
          </w:p>
          <w:p>
            <w:pPr>
              <w:spacing w:before="0" w:after="3" w:line="170" w:lineRule="exact"/>
              <w:ind w:left="108" w:hanging="108"/>
            </w:pPr>
            <w:r>
              <w:rPr>
                <w:rFonts w:ascii="Arial" w:hAnsi="Arial" w:eastAsia="Arial"/>
                <w:b/>
                <w:i w:val="0"/>
                <w:color w:val="087E8B"/>
                <w:sz w:val="14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7324D"/>
                <w:sz w:val="14"/>
              </w:rPr>
              <w:t xml:space="preserve">Record. </w:t>
            </w: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Set status to 'substantive response deferred'; preserve the same £1,240/£980/£260 statuses and hold. No deletion or waiver.</w:t>
            </w:r>
          </w:p>
          <w:p>
            <w:pPr>
              <w:spacing w:before="0" w:after="3" w:line="170" w:lineRule="exact"/>
              <w:ind w:left="108" w:hanging="108"/>
            </w:pPr>
            <w:r>
              <w:rPr>
                <w:rFonts w:ascii="Arial" w:hAnsi="Arial" w:eastAsia="Arial"/>
                <w:b/>
                <w:i w:val="0"/>
                <w:color w:val="087E8B"/>
                <w:sz w:val="14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7324D"/>
                <w:sz w:val="14"/>
              </w:rPr>
              <w:t xml:space="preserve">Send. </w:t>
            </w: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Use the holding communication below by the Board-recorded time. It acknowledges the case and states when / how the next update will occur.</w:t>
            </w:r>
          </w:p>
          <w:p>
            <w:pPr>
              <w:spacing w:before="0" w:after="3" w:line="170" w:lineRule="exact"/>
              <w:ind w:left="108" w:hanging="108"/>
            </w:pPr>
            <w:r>
              <w:rPr>
                <w:rFonts w:ascii="Arial" w:hAnsi="Arial" w:eastAsia="Arial"/>
                <w:b/>
                <w:i w:val="0"/>
                <w:color w:val="087E8B"/>
                <w:sz w:val="14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7324D"/>
                <w:sz w:val="14"/>
              </w:rPr>
              <w:t xml:space="preserve">Handoff. </w:t>
            </w: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Assign Review Lead: due 11:30 Friday; if past the cutoff, use the exception route and schedule 16:00 Friday. Retain the source trail.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  <w:b/>
          <w:i w:val="0"/>
          <w:color w:val="17324D"/>
          <w:sz w:val="18"/>
        </w:rPr>
        <w:t>Customer communication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c>
          <w:tcPr>
            <w:tcW w:type="dxa" w:w="5411"/>
            <w:shd w:fill="FFF4D6"/>
            <w:tcBorders>
              <w:top w:val="single" w:sz="5" w:space="0" w:color="E4C36A"/>
              <w:left w:val="single" w:sz="5" w:space="0" w:color="E4C36A"/>
              <w:bottom w:val="single" w:sz="5" w:space="0" w:color="E4C36A"/>
              <w:right w:val="single" w:sz="5" w:space="0" w:color="E4C36A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pPr>
              <w:spacing w:before="0" w:after="20" w:line="176" w:lineRule="exact"/>
            </w:pPr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>REVISED FACTUAL RESPONSE (OPTION A)</w:t>
            </w:r>
          </w:p>
          <w:p>
            <w:pPr>
              <w:spacing w:before="0" w:after="0" w:line="174" w:lineRule="exact"/>
            </w:pP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On review, the 11 October ledger position is £1,240. £980 is currently substantiated by the incident log. The remaining £260 is disputed and held while supporting evidence is checked. The £1,500 deposit remains held; this message makes no deposit disposition. We will provide the next update by [recorded date/time].</w:t>
            </w:r>
          </w:p>
        </w:tc>
        <w:tc>
          <w:tcPr>
            <w:tcW w:type="dxa" w:w="5411"/>
            <w:shd w:fill="FFF4D6"/>
            <w:tcBorders>
              <w:top w:val="single" w:sz="5" w:space="0" w:color="E4C36A"/>
              <w:left w:val="single" w:sz="5" w:space="0" w:color="E4C36A"/>
              <w:bottom w:val="single" w:sz="5" w:space="0" w:color="E4C36A"/>
              <w:right w:val="single" w:sz="5" w:space="0" w:color="E4C36A"/>
            </w:tcBorders>
            <w:tcMar>
              <w:top w:w="60" w:type="dxa"/>
              <w:start w:w="85" w:type="dxa"/>
              <w:bottom w:w="60" w:type="dxa"/>
              <w:end w:w="85" w:type="dxa"/>
            </w:tcMar>
          </w:tcPr>
          <w:p>
            <w:pPr>
              <w:spacing w:before="0" w:after="20" w:line="176" w:lineRule="exact"/>
            </w:pPr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>HOLDING COMMUNICATION (OPTION B / EXCEPTION)</w:t>
            </w:r>
          </w:p>
          <w:p>
            <w:pPr>
              <w:spacing w:before="0" w:after="0" w:line="174" w:lineRule="exact"/>
            </w:pP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We acknowledge the disputed move-out case. The 11 October ledger position is £1,240; £980 is currently substantiated and £260 remains disputed / held. We are not making a substantive conclusion while records are checked. We will update you by [recorded date/time] or tell you the next contact route.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  <w:b/>
          <w:i w:val="0"/>
          <w:color w:val="17324D"/>
          <w:sz w:val="18"/>
        </w:rPr>
        <w:t>4. Exception and cutoff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1082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space="0" w:color="087E8B"/>
              <w:left w:val="single" w:sz="5" w:space="0" w:color="087E8B"/>
              <w:bottom w:val="single" w:sz="5" w:space="0" w:color="087E8B"/>
              <w:right w:val="single" w:sz="5" w:space="0" w:color="087E8B"/>
            </w:tcBorders>
            <w:shd w:fill="E7F3F1"/>
          </w:tcPr>
          <w:p>
            <w:pPr>
              <w:spacing w:before="0" w:after="0" w:line="186" w:lineRule="exact"/>
            </w:pPr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 xml:space="preserve">BEFORE NOON FRIDAY  </w:t>
            </w:r>
            <w:r>
              <w:rPr>
                <w:rFonts w:ascii="Arial" w:hAnsi="Arial" w:eastAsia="Arial"/>
                <w:b w:val="0"/>
                <w:i w:val="0"/>
                <w:color w:val="18212B"/>
                <w:sz w:val="15"/>
              </w:rPr>
              <w:t>Prioritize an independent second review of support for the £260 evidence gap; owner: Review Lead; due 11:30 Friday. Defer the usual full callback because both controls cannot complete before the cutoff. Rationale: an independently checked evidence position protects the Board decision; safety referral proceeds separately. Idris must hand the callback to the Customer Response Lead by 12:00 Friday for scheduling by 16:00 Friday, and record that handoff.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1082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space="0" w:color="E4C36A"/>
              <w:left w:val="single" w:sz="5" w:space="0" w:color="E4C36A"/>
              <w:bottom w:val="single" w:sz="5" w:space="0" w:color="E4C36A"/>
              <w:right w:val="single" w:sz="5" w:space="0" w:color="E4C36A"/>
            </w:tcBorders>
            <w:shd w:fill="FFF4D6"/>
          </w:tcPr>
          <w:p>
            <w:pPr>
              <w:spacing w:before="0" w:after="0" w:line="186" w:lineRule="exact"/>
            </w:pPr>
            <w:r>
              <w:rPr>
                <w:rFonts w:ascii="Arial" w:hAnsi="Arial" w:eastAsia="Arial"/>
                <w:b/>
                <w:i w:val="0"/>
                <w:color w:val="17324D"/>
                <w:sz w:val="14"/>
              </w:rPr>
              <w:t xml:space="preserve">IF ANY STEP CANNOT FINISH  </w:t>
            </w:r>
            <w:r>
              <w:rPr>
                <w:rFonts w:ascii="Arial" w:hAnsi="Arial" w:eastAsia="Arial"/>
                <w:b w:val="0"/>
                <w:i w:val="0"/>
                <w:color w:val="18212B"/>
                <w:sz w:val="14"/>
              </w:rPr>
              <w:t>If evidence checking, callback, approval confirmation, or record updating cannot be completed: preserve the current state; mark the missing item and reason; send the holding communication; do not guess, backfill evidence, waive an amount, or take another irreversible action. Escalate to Wilhelmina Adeyemi / Duty Case Manager within 30 minutes, record the escalation date/time, and set a named owner with an exact due time no later than 16:00 Friday.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  <w:b/>
          <w:i w:val="0"/>
          <w:color w:val="17324D"/>
          <w:sz w:val="18"/>
        </w:rPr>
        <w:t>5. Completion check</w:t>
      </w:r>
    </w:p>
    <w:p>
      <w:pPr>
        <w:spacing w:before="0" w:after="6" w:line="182" w:lineRule="exact"/>
        <w:ind w:left="181" w:hanging="125"/>
      </w:pPr>
      <w:r>
        <w:rPr>
          <w:rFonts w:ascii="Arial" w:hAnsi="Arial" w:eastAsia="Arial"/>
          <w:b/>
          <w:i w:val="0"/>
          <w:color w:val="087E8B"/>
          <w:sz w:val="15"/>
        </w:rPr>
        <w:t xml:space="preserve">• </w:t>
      </w:r>
      <w:r>
        <w:rPr>
          <w:rFonts w:ascii="Arial" w:hAnsi="Arial" w:eastAsia="Arial"/>
          <w:b/>
          <w:i w:val="0"/>
          <w:color w:val="17324D"/>
          <w:sz w:val="15"/>
        </w:rPr>
        <w:t xml:space="preserve">Close only when </w:t>
      </w:r>
      <w:r>
        <w:rPr>
          <w:rFonts w:ascii="Arial" w:hAnsi="Arial" w:eastAsia="Arial"/>
          <w:b w:val="0"/>
          <w:i w:val="0"/>
          <w:color w:val="18212B"/>
          <w:sz w:val="15"/>
        </w:rPr>
        <w:t>the Board outcome is recorded; case status and version are updated; customer communication is completed or handed off; safety referral is separately logged; and all outstanding items have an owner and concrete due time. Keep customer and safety detail on a need-to-know basis.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52" w:right="709" w:bottom="652" w:left="70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2616B"/>
        <w:sz w:val="14"/>
      </w:rPr>
      <w:t xml:space="preserve">Yarrowfield Energy | Cecilia Montague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i w:val="0"/>
        <w:color w:val="17324D"/>
        <w:sz w:val="15"/>
      </w:rPr>
      <w:t>DALEFIELD FOUNDRY  |  FRONTLINE EXECUTION</w:t>
    </w:r>
    <w:r>
      <w:rPr>
        <w:rFonts w:ascii="Arial" w:hAnsi="Arial" w:eastAsia="Arial"/>
        <w:b w:val="0"/>
        <w:i w:val="0"/>
        <w:color w:val="52616B"/>
        <w:sz w:val="15"/>
      </w:rPr>
      <w:t xml:space="preserve">    Confidential: need-to-know case and safety handling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190" w:lineRule="exact"/>
    </w:pPr>
    <w:rPr>
      <w:rFonts w:ascii="Arial" w:hAnsi="Arial" w:eastAsia="Arial"/>
      <w:color w:val="18212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 w:line="264" w:lineRule="exact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 w:line="224" w:lineRule="exact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400" w:lineRule="exact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