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Cross-border referral brief</w:t>
      </w:r>
    </w:p>
    <w:p>
      <w:r>
        <w:rPr>
          <w:i/>
        </w:rPr>
        <w:t>Fernhollow Terminals  |  Elmsworth Cooperative  |  issued 11 May 2026</w:t>
      </w:r>
    </w:p>
    <w:p>
      <w:r>
        <w:t>To: Vera Haldorsen   From: Compliance Operations   Subject: bounded referral decision before Friday</w:t>
      </w:r>
    </w:p>
    <w:p>
      <w:pPr>
        <w:pStyle w:val="Heading1"/>
      </w:pPr>
      <w:r>
        <w:t>Decision context</w:t>
      </w:r>
    </w:p>
    <w:p>
      <w:r>
        <w:t>Use the attached case export to decide whether the unresolved retail discrepancies should be referred for compliance action. The bundle supports a discrepancy review; it does not itself establish misconduct, loss, or a breach. “Transaction-level” is not defined: a practitioner may use a distinct source visit or a discrepancy occurrence nested within a visit, provided the choice, parent visit key, and duplicate treatment are stated. For this brief, final statuses Open, Under review, and Escalated are active. Closed - resolved and Withdrawn are not active.</w:t>
      </w:r>
    </w:p>
    <w:p>
      <w:pPr>
        <w:pStyle w:val="Heading1"/>
      </w:pPr>
      <w:r>
        <w:t>Narthaven Republic</w:t>
      </w:r>
    </w:p>
    <w:p>
      <w:r>
        <w:t>A Narthaven internal compliance referral is triggered when either (a) aggregate active discrepancy exposure is USD 2,500 or more, or (b) there are three or more active cases. For a referral, retain the transaction record and one independent corroborating source: a linked message, interview note, or stakeholder feedback. If a trigger and this evidence standard are met, route the minimised referral package to Compliance Operations within 5 business days and preserve relevant material for 6 years.</w:t>
      </w:r>
    </w:p>
    <w:p>
      <w:pPr>
        <w:pStyle w:val="Heading1"/>
      </w:pPr>
      <w:r>
        <w:t>Eldermark Province</w:t>
      </w:r>
    </w:p>
    <w:p>
      <w:r>
        <w:t>Eldermark screening is triggered by any active case at USD 1,200 or more, or aggregate active discrepancy exposure of USD 2,000 or more. A transaction record can open screening; a compliance action referral needs the transaction record plus one linked message, interview note, or stakeholder feedback. Where that standard and a trigger are met, refer within 10 calendar days and retain relevant material for 7 years.</w:t>
      </w:r>
    </w:p>
    <w:p>
      <w:pPr>
        <w:pStyle w:val="Heading1"/>
      </w:pPr>
      <w:r>
        <w:t>Cross-border handling</w:t>
      </w:r>
    </w:p>
    <w:p>
      <w:r>
        <w:t>For either route, transfer only a minimised case extract, use evidence identifiers in the first transfer, and log the receiving team and stated purpose. Do not circulate full interview text across the border unless it is necessary to the referral assessment and the disclosure is logged.</w:t>
      </w:r>
    </w:p>
    <w:p>
      <w:pPr>
        <w:pStyle w:val="Heading1"/>
      </w:pPr>
      <w:r>
        <w:t>Projection scenarios</w:t>
      </w:r>
    </w:p>
    <w:p>
      <w:r>
        <w:t>Primary — Continued recurrence: apply a 60% recurrence of reconciled active exposure in each of the next 3 months; assume no containment, recovery, or new source-visit population beyond that recurrence. Report the projected incremental exposure, not a confirmed future loss.</w:t>
      </w:r>
    </w:p>
    <w:p>
      <w:r>
        <w:t>Alternative — Containment and recovery: apply a 25% recurrence of reconciled active exposure over 1 month, then assume 40% recovery of that recurring amount; assume no new source-visit population beyond that recurrence. Report the projected net incremental exposure, not a confirmed future loss.</w:t>
      </w:r>
    </w:p>
    <w:p>
      <w:pPr>
        <w:pStyle w:val="Heading1"/>
      </w:pPr>
      <w:r>
        <w:t>Output expected</w:t>
      </w:r>
    </w:p>
    <w:p>
      <w:r>
        <w:t>Provide Vera a reproducible register, a comparison of both regimes, projections clearly separated from observed final state, and a bounded recommendation. A referral decision may be supported by the listed threshold and evidence standard without deciding the underlying allegation as fact.</w:t>
      </w:r>
    </w:p>
    <w:p>
      <w:r>
        <w:t>Classification: Internal review  •  Fernhollow Terminals</w:t>
      </w:r>
    </w:p>
    <w:sectPr w:rsidR="00FC693F" w:rsidRPr="0006063C" w:rsidSect="00034616">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