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2"/>
        </w:rPr>
        <w:t>SECOND-SOURCE SCOPING BRIEF</w:t>
      </w:r>
    </w:p>
    <w:p>
      <w:pPr>
        <w:spacing w:after="80"/>
      </w:pPr>
      <w:r>
        <w:rPr>
          <w:rFonts w:ascii="Aptos" w:hAnsi="Aptos"/>
          <w:i/>
          <w:sz w:val="16"/>
        </w:rPr>
        <w:t>Decision owner: Harriet Ogunlade, Engineering VP  |  Users: Adaeze Zieliński, Olamide Ibarra, Naledi Arriaga, Viktor Underwood and Imani Okonkwo</w:t>
      </w:r>
    </w:p>
    <w:tbl>
      <w:tblPr>
        <w:tblW w:type="auto" w:w="0"/>
        <w:tblLayout w:type="fixed"/>
        <w:tblLook w:firstColumn="1" w:firstRow="1" w:lastColumn="0" w:lastRow="0" w:noHBand="0" w:noVBand="1" w:val="04A0"/>
      </w:tblPr>
      <w:tblGrid>
        <w:gridCol w:w="10880"/>
      </w:tblGrid>
      <w:tr>
        <w:tc>
          <w:tcPr>
            <w:tcW w:type="dxa" w:w="10880"/>
            <w:shd w:fill="EAF2F8"/>
            <w:vAlign w:val="top"/>
          </w:tcPr>
          <w:p>
            <w:pPr>
              <w:spacing w:after="0" w:before="0"/>
            </w:pPr>
            <w:r/>
            <w:r>
              <w:rPr>
                <w:rFonts w:ascii="Aptos" w:hAnsi="Aptos"/>
                <w:b/>
                <w:sz w:val="17"/>
              </w:rPr>
              <w:t>DECISION REQUEST — Authorise a bounded £40,000 qualification scope this quarter for SA-MAG-4102, SA-MAG-4278, SA-MAG-4416, SA-MAG-4589, SA-MAG-4631 and SA-MAG-4764. This authorises evidence gathering and qualification only; it does not approve any source for production.</w:t>
            </w:r>
          </w:p>
        </w:tc>
      </w:tr>
    </w:tbl>
    <w:p>
      <w:pPr>
        <w:spacing w:before="80" w:after="40"/>
      </w:pPr>
      <w:r>
        <w:rPr>
          <w:rFonts w:ascii="Aptos Display" w:hAnsi="Aptos Display"/>
          <w:b/>
          <w:color w:val="1F4E79"/>
          <w:sz w:val="20"/>
        </w:rPr>
        <w:t>Business problem and scope boundary</w:t>
      </w:r>
    </w:p>
    <w:p>
      <w:pPr>
        <w:spacing w:before="0" w:after="40" w:line="240" w:lineRule="auto"/>
      </w:pPr>
      <w:r>
        <w:rPr>
          <w:rFonts w:ascii="Aptos" w:hAnsi="Aptos"/>
          <w:sz w:val="16"/>
        </w:rPr>
        <w:t>For Silchester Actuators, the programme has different exposure types that a single “second source” label would blur: tariff treatment, single-plant allocation, customer country-of-origin requirements, and sintered NdFeB grade drift. The register supports committing the stated ceiling to assess those parts; it does not support a universal exposure ranking, supplier selection, performance claim, customer acceptance, or production release.</w:t>
      </w:r>
    </w:p>
    <w:p>
      <w:pPr>
        <w:spacing w:before="0" w:after="40" w:line="240" w:lineRule="auto"/>
      </w:pPr>
      <w:r>
        <w:rPr>
          <w:rFonts w:ascii="Aptos" w:hAnsi="Aptos"/>
          <w:sz w:val="16"/>
        </w:rPr>
        <w:t>Budget boundary: £40,000 ceiling, committed this quarter. The register assigns £7,000 + £6,000 + £5,000 + £8,000 + £9,000 + £5,000 = £40,000; no spend above the ceiling is authorised. Scope out: every part not listed above, production approval, and any programme change needed to alter a sole-plant allocation.</w:t>
      </w:r>
    </w:p>
    <w:p>
      <w:pPr>
        <w:spacing w:before="80" w:after="40"/>
      </w:pPr>
      <w:r>
        <w:rPr>
          <w:rFonts w:ascii="Aptos Display" w:hAnsi="Aptos Display"/>
          <w:b/>
          <w:color w:val="1F4E79"/>
          <w:sz w:val="20"/>
        </w:rPr>
        <w:t>In-scope crosswalk — reason for qualification</w:t>
      </w:r>
    </w:p>
    <w:tbl>
      <w:tblPr>
        <w:tblStyle w:val="TableGrid"/>
        <w:tblW w:type="auto" w:w="0"/>
        <w:jc w:val="center"/>
        <w:tblLook w:firstColumn="1" w:firstRow="1" w:lastColumn="0" w:lastRow="0" w:noHBand="0" w:noVBand="1" w:val="04A0"/>
      </w:tblPr>
      <w:tblGrid>
        <w:gridCol w:w="2176"/>
        <w:gridCol w:w="2176"/>
        <w:gridCol w:w="2176"/>
        <w:gridCol w:w="2176"/>
        <w:gridCol w:w="2176"/>
      </w:tblGrid>
      <w:tr>
        <w:tc>
          <w:tcPr>
            <w:tcW w:type="dxa" w:w="1814"/>
            <w:vAlign w:val="top"/>
            <w:shd w:fill="1F4E78"/>
          </w:tcPr>
          <w:p>
            <w:pPr>
              <w:spacing w:after="0" w:before="0"/>
            </w:pPr>
            <w:r>
              <w:rPr>
                <w:b/>
                <w:color w:val="FFFFFF"/>
              </w:rPr>
            </w:r>
            <w:r>
              <w:rPr>
                <w:rFonts w:ascii="Aptos" w:hAnsi="Aptos"/>
                <w:b/>
                <w:color w:val="FFFFFF"/>
                <w:sz w:val="14"/>
              </w:rPr>
              <w:t>Part / phase</w:t>
            </w:r>
          </w:p>
        </w:tc>
        <w:tc>
          <w:tcPr>
            <w:tcW w:type="dxa" w:w="1928"/>
            <w:vAlign w:val="top"/>
            <w:shd w:fill="1F4E78"/>
          </w:tcPr>
          <w:p>
            <w:pPr>
              <w:spacing w:after="0" w:before="0"/>
            </w:pPr>
            <w:r>
              <w:rPr>
                <w:b/>
                <w:color w:val="FFFFFF"/>
              </w:rPr>
            </w:r>
            <w:r>
              <w:rPr>
                <w:rFonts w:ascii="Aptos" w:hAnsi="Aptos"/>
                <w:b/>
                <w:color w:val="FFFFFF"/>
                <w:sz w:val="14"/>
              </w:rPr>
              <w:t>Exposure and grade</w:t>
            </w:r>
          </w:p>
        </w:tc>
        <w:tc>
          <w:tcPr>
            <w:tcW w:type="dxa" w:w="2438"/>
            <w:vAlign w:val="top"/>
            <w:shd w:fill="1F4E78"/>
          </w:tcPr>
          <w:p>
            <w:pPr>
              <w:spacing w:after="0" w:before="0"/>
            </w:pPr>
            <w:r>
              <w:rPr>
                <w:b/>
                <w:color w:val="FFFFFF"/>
              </w:rPr>
            </w:r>
            <w:r>
              <w:rPr>
                <w:rFonts w:ascii="Aptos" w:hAnsi="Aptos"/>
                <w:b/>
                <w:color w:val="FFFFFF"/>
                <w:sz w:val="14"/>
              </w:rPr>
              <w:t>UK position</w:t>
            </w:r>
          </w:p>
        </w:tc>
        <w:tc>
          <w:tcPr>
            <w:tcW w:type="dxa" w:w="2438"/>
            <w:vAlign w:val="top"/>
            <w:shd w:fill="1F4E78"/>
          </w:tcPr>
          <w:p>
            <w:pPr>
              <w:spacing w:after="0" w:before="0"/>
            </w:pPr>
            <w:r>
              <w:rPr>
                <w:b/>
                <w:color w:val="FFFFFF"/>
              </w:rPr>
            </w:r>
            <w:r>
              <w:rPr>
                <w:rFonts w:ascii="Aptos" w:hAnsi="Aptos"/>
                <w:b/>
                <w:color w:val="FFFFFF"/>
                <w:sz w:val="14"/>
              </w:rPr>
              <w:t>European Union position</w:t>
            </w:r>
          </w:p>
        </w:tc>
        <w:tc>
          <w:tcPr>
            <w:tcW w:type="dxa" w:w="964"/>
            <w:vAlign w:val="top"/>
            <w:shd w:fill="1F4E78"/>
          </w:tcPr>
          <w:p>
            <w:pPr>
              <w:spacing w:after="0" w:before="0"/>
            </w:pPr>
            <w:r>
              <w:rPr>
                <w:b/>
                <w:color w:val="FFFFFF"/>
              </w:rPr>
            </w:r>
            <w:r>
              <w:rPr>
                <w:rFonts w:ascii="Aptos" w:hAnsi="Aptos"/>
                <w:b/>
                <w:color w:val="FFFFFF"/>
                <w:sz w:val="14"/>
              </w:rPr>
              <w:t>Allocation</w:t>
            </w:r>
          </w:p>
        </w:tc>
      </w:tr>
      <w:tr>
        <w:tc>
          <w:tcPr>
            <w:tcW w:type="dxa" w:w="1814"/>
            <w:vAlign w:val="top"/>
          </w:tcPr>
          <w:p>
            <w:pPr>
              <w:spacing w:after="0" w:before="0"/>
            </w:pPr>
            <w:r/>
            <w:r>
              <w:rPr>
                <w:rFonts w:ascii="Aptos" w:hAnsi="Aptos"/>
                <w:b w:val="0"/>
                <w:sz w:val="13"/>
              </w:rPr>
              <w:t>SA-MAG-4102</w:t>
              <w:br/>
              <w:t>Transition: current route remains until alternate route is qualified.</w:t>
            </w:r>
          </w:p>
        </w:tc>
        <w:tc>
          <w:tcPr>
            <w:tcW w:type="dxa" w:w="1928"/>
            <w:vAlign w:val="top"/>
          </w:tcPr>
          <w:p>
            <w:pPr>
              <w:spacing w:after="0" w:before="0"/>
            </w:pPr>
            <w:r/>
            <w:r>
              <w:rPr>
                <w:rFonts w:ascii="Aptos" w:hAnsi="Aptos"/>
                <w:b w:val="0"/>
                <w:sz w:val="13"/>
              </w:rPr>
              <w:t>Tariff</w:t>
              <w:br/>
              <w:t>Grade: N42SH</w:t>
            </w:r>
          </w:p>
        </w:tc>
        <w:tc>
          <w:tcPr>
            <w:tcW w:type="dxa" w:w="2438"/>
            <w:vAlign w:val="top"/>
          </w:tcPr>
          <w:p>
            <w:pPr>
              <w:spacing w:after="0" w:before="0"/>
            </w:pPr>
            <w:r/>
            <w:r>
              <w:rPr>
                <w:rFonts w:ascii="Aptos" w:hAnsi="Aptos"/>
                <w:b w:val="0"/>
                <w:sz w:val="13"/>
              </w:rPr>
              <w:t>UK: tariff treatment applies to the declared import route during transition.</w:t>
            </w:r>
          </w:p>
        </w:tc>
        <w:tc>
          <w:tcPr>
            <w:tcW w:type="dxa" w:w="2438"/>
            <w:vAlign w:val="top"/>
          </w:tcPr>
          <w:p>
            <w:pPr>
              <w:spacing w:after="0" w:before="0"/>
            </w:pPr>
            <w:r/>
            <w:r>
              <w:rPr>
                <w:rFonts w:ascii="Aptos" w:hAnsi="Aptos"/>
                <w:b w:val="0"/>
                <w:sz w:val="13"/>
              </w:rPr>
              <w:t>EU: no equivalent tariff treatment recorded for this destination.</w:t>
            </w:r>
          </w:p>
        </w:tc>
        <w:tc>
          <w:tcPr>
            <w:tcW w:type="dxa" w:w="964"/>
            <w:vAlign w:val="top"/>
          </w:tcPr>
          <w:p>
            <w:pPr>
              <w:spacing w:after="0" w:before="0"/>
            </w:pPr>
            <w:r/>
            <w:r>
              <w:rPr>
                <w:rFonts w:ascii="Aptos" w:hAnsi="Aptos"/>
                <w:b w:val="0"/>
                <w:sz w:val="13"/>
              </w:rPr>
              <w:t>£7,000</w:t>
            </w:r>
          </w:p>
        </w:tc>
      </w:tr>
      <w:tr>
        <w:tc>
          <w:tcPr>
            <w:tcW w:type="dxa" w:w="1814"/>
            <w:vAlign w:val="top"/>
            <w:shd w:fill="EAF2F8"/>
          </w:tcPr>
          <w:p>
            <w:pPr>
              <w:spacing w:after="0" w:before="0"/>
            </w:pPr>
            <w:r/>
            <w:r>
              <w:rPr>
                <w:rFonts w:ascii="Aptos" w:hAnsi="Aptos"/>
                <w:b w:val="0"/>
                <w:sz w:val="13"/>
              </w:rPr>
              <w:t>SA-MAG-4278</w:t>
              <w:br/>
              <w:t>End state: sole-plant allocation remains.</w:t>
            </w:r>
          </w:p>
        </w:tc>
        <w:tc>
          <w:tcPr>
            <w:tcW w:type="dxa" w:w="1928"/>
            <w:vAlign w:val="top"/>
            <w:shd w:fill="EAF2F8"/>
          </w:tcPr>
          <w:p>
            <w:pPr>
              <w:spacing w:after="0" w:before="0"/>
            </w:pPr>
            <w:r/>
            <w:r>
              <w:rPr>
                <w:rFonts w:ascii="Aptos" w:hAnsi="Aptos"/>
                <w:b w:val="0"/>
                <w:sz w:val="13"/>
              </w:rPr>
              <w:t>Single-plant allocation</w:t>
              <w:br/>
              <w:t>Grade: N35</w:t>
            </w:r>
          </w:p>
        </w:tc>
        <w:tc>
          <w:tcPr>
            <w:tcW w:type="dxa" w:w="2438"/>
            <w:vAlign w:val="top"/>
            <w:shd w:fill="EAF2F8"/>
          </w:tcPr>
          <w:p>
            <w:pPr>
              <w:spacing w:after="0" w:before="0"/>
            </w:pPr>
            <w:r/>
            <w:r>
              <w:rPr>
                <w:rFonts w:ascii="Aptos" w:hAnsi="Aptos"/>
                <w:b w:val="0"/>
                <w:sz w:val="13"/>
              </w:rPr>
              <w:t>UK: no special tariff treatment recorded.</w:t>
            </w:r>
          </w:p>
        </w:tc>
        <w:tc>
          <w:tcPr>
            <w:tcW w:type="dxa" w:w="2438"/>
            <w:vAlign w:val="top"/>
            <w:shd w:fill="EAF2F8"/>
          </w:tcPr>
          <w:p>
            <w:pPr>
              <w:spacing w:after="0" w:before="0"/>
            </w:pPr>
            <w:r/>
            <w:r>
              <w:rPr>
                <w:rFonts w:ascii="Aptos" w:hAnsi="Aptos"/>
                <w:b w:val="0"/>
                <w:sz w:val="13"/>
              </w:rPr>
              <w:t>EU: end state retains Plant B as the sole allocated plant.</w:t>
            </w:r>
          </w:p>
        </w:tc>
        <w:tc>
          <w:tcPr>
            <w:tcW w:type="dxa" w:w="964"/>
            <w:vAlign w:val="top"/>
            <w:shd w:fill="EAF2F8"/>
          </w:tcPr>
          <w:p>
            <w:pPr>
              <w:spacing w:after="0" w:before="0"/>
            </w:pPr>
            <w:r/>
            <w:r>
              <w:rPr>
                <w:rFonts w:ascii="Aptos" w:hAnsi="Aptos"/>
                <w:b w:val="0"/>
                <w:sz w:val="13"/>
              </w:rPr>
              <w:t>£6,000</w:t>
            </w:r>
          </w:p>
        </w:tc>
      </w:tr>
      <w:tr>
        <w:tc>
          <w:tcPr>
            <w:tcW w:type="dxa" w:w="1814"/>
            <w:vAlign w:val="top"/>
          </w:tcPr>
          <w:p>
            <w:pPr>
              <w:spacing w:after="0" w:before="0"/>
            </w:pPr>
            <w:r/>
            <w:r>
              <w:rPr>
                <w:rFonts w:ascii="Aptos" w:hAnsi="Aptos"/>
                <w:b w:val="0"/>
                <w:sz w:val="13"/>
              </w:rPr>
              <w:t>SA-MAG-4416</w:t>
              <w:br/>
              <w:t>Transition: mandate applies while the current configuration changes over.</w:t>
            </w:r>
          </w:p>
        </w:tc>
        <w:tc>
          <w:tcPr>
            <w:tcW w:type="dxa" w:w="1928"/>
            <w:vAlign w:val="top"/>
          </w:tcPr>
          <w:p>
            <w:pPr>
              <w:spacing w:after="0" w:before="0"/>
            </w:pPr>
            <w:r/>
            <w:r>
              <w:rPr>
                <w:rFonts w:ascii="Aptos" w:hAnsi="Aptos"/>
                <w:b w:val="0"/>
                <w:sz w:val="13"/>
              </w:rPr>
              <w:t>Customer country-of-origin mandate</w:t>
              <w:br/>
              <w:t>Grade: N38</w:t>
            </w:r>
          </w:p>
        </w:tc>
        <w:tc>
          <w:tcPr>
            <w:tcW w:type="dxa" w:w="2438"/>
            <w:vAlign w:val="top"/>
          </w:tcPr>
          <w:p>
            <w:pPr>
              <w:spacing w:after="0" w:before="0"/>
            </w:pPr>
            <w:r/>
            <w:r>
              <w:rPr>
                <w:rFonts w:ascii="Aptos" w:hAnsi="Aptos"/>
                <w:b w:val="0"/>
                <w:sz w:val="13"/>
              </w:rPr>
              <w:t>UK: Slateford Authority requires a UK-origin declaration for the destination.</w:t>
            </w:r>
          </w:p>
        </w:tc>
        <w:tc>
          <w:tcPr>
            <w:tcW w:type="dxa" w:w="2438"/>
            <w:vAlign w:val="top"/>
          </w:tcPr>
          <w:p>
            <w:pPr>
              <w:spacing w:after="0" w:before="0"/>
            </w:pPr>
            <w:r/>
            <w:r>
              <w:rPr>
                <w:rFonts w:ascii="Aptos" w:hAnsi="Aptos"/>
                <w:b w:val="0"/>
                <w:sz w:val="13"/>
              </w:rPr>
              <w:t>EU: no equivalent customer-origin mandate recorded.</w:t>
            </w:r>
          </w:p>
        </w:tc>
        <w:tc>
          <w:tcPr>
            <w:tcW w:type="dxa" w:w="964"/>
            <w:vAlign w:val="top"/>
          </w:tcPr>
          <w:p>
            <w:pPr>
              <w:spacing w:after="0" w:before="0"/>
            </w:pPr>
            <w:r/>
            <w:r>
              <w:rPr>
                <w:rFonts w:ascii="Aptos" w:hAnsi="Aptos"/>
                <w:b w:val="0"/>
                <w:sz w:val="13"/>
              </w:rPr>
              <w:t>£5,000</w:t>
            </w:r>
          </w:p>
        </w:tc>
      </w:tr>
      <w:tr>
        <w:tc>
          <w:tcPr>
            <w:tcW w:type="dxa" w:w="1814"/>
            <w:vAlign w:val="top"/>
            <w:shd w:fill="EAF2F8"/>
          </w:tcPr>
          <w:p>
            <w:pPr>
              <w:spacing w:after="0" w:before="0"/>
            </w:pPr>
            <w:r/>
            <w:r>
              <w:rPr>
                <w:rFonts w:ascii="Aptos" w:hAnsi="Aptos"/>
                <w:b w:val="0"/>
                <w:sz w:val="13"/>
              </w:rPr>
              <w:t>SA-MAG-4589</w:t>
              <w:br/>
              <w:t>End state: grade N48H remains specified.</w:t>
            </w:r>
          </w:p>
        </w:tc>
        <w:tc>
          <w:tcPr>
            <w:tcW w:type="dxa" w:w="1928"/>
            <w:vAlign w:val="top"/>
            <w:shd w:fill="EAF2F8"/>
          </w:tcPr>
          <w:p>
            <w:pPr>
              <w:spacing w:after="0" w:before="0"/>
            </w:pPr>
            <w:r/>
            <w:r>
              <w:rPr>
                <w:rFonts w:ascii="Aptos" w:hAnsi="Aptos"/>
                <w:b w:val="0"/>
                <w:sz w:val="13"/>
              </w:rPr>
              <w:t>Sintered NdFeB grade drift</w:t>
              <w:br/>
              <w:t>Grade: N48H</w:t>
            </w:r>
          </w:p>
        </w:tc>
        <w:tc>
          <w:tcPr>
            <w:tcW w:type="dxa" w:w="2438"/>
            <w:vAlign w:val="top"/>
            <w:shd w:fill="EAF2F8"/>
          </w:tcPr>
          <w:p>
            <w:pPr>
              <w:spacing w:after="0" w:before="0"/>
            </w:pPr>
            <w:r/>
            <w:r>
              <w:rPr>
                <w:rFonts w:ascii="Aptos" w:hAnsi="Aptos"/>
                <w:b w:val="0"/>
                <w:sz w:val="13"/>
              </w:rPr>
              <w:t>UK: no special tariff treatment recorded.</w:t>
            </w:r>
          </w:p>
        </w:tc>
        <w:tc>
          <w:tcPr>
            <w:tcW w:type="dxa" w:w="2438"/>
            <w:vAlign w:val="top"/>
            <w:shd w:fill="EAF2F8"/>
          </w:tcPr>
          <w:p>
            <w:pPr>
              <w:spacing w:after="0" w:before="0"/>
            </w:pPr>
            <w:r/>
            <w:r>
              <w:rPr>
                <w:rFonts w:ascii="Aptos" w:hAnsi="Aptos"/>
                <w:b w:val="0"/>
                <w:sz w:val="13"/>
              </w:rPr>
              <w:t>EU: no special tariff treatment recorded.</w:t>
            </w:r>
          </w:p>
        </w:tc>
        <w:tc>
          <w:tcPr>
            <w:tcW w:type="dxa" w:w="964"/>
            <w:vAlign w:val="top"/>
            <w:shd w:fill="EAF2F8"/>
          </w:tcPr>
          <w:p>
            <w:pPr>
              <w:spacing w:after="0" w:before="0"/>
            </w:pPr>
            <w:r/>
            <w:r>
              <w:rPr>
                <w:rFonts w:ascii="Aptos" w:hAnsi="Aptos"/>
                <w:b w:val="0"/>
                <w:sz w:val="13"/>
              </w:rPr>
              <w:t>£8,000</w:t>
            </w:r>
          </w:p>
        </w:tc>
      </w:tr>
      <w:tr>
        <w:tc>
          <w:tcPr>
            <w:tcW w:type="dxa" w:w="1814"/>
            <w:vAlign w:val="top"/>
          </w:tcPr>
          <w:p>
            <w:pPr>
              <w:spacing w:after="0" w:before="0"/>
            </w:pPr>
            <w:r/>
            <w:r>
              <w:rPr>
                <w:rFonts w:ascii="Aptos" w:hAnsi="Aptos"/>
                <w:b w:val="0"/>
                <w:sz w:val="13"/>
              </w:rPr>
              <w:t>SA-MAG-4631</w:t>
              <w:br/>
              <w:t>Transition: UK route applies until EU end-state configuration is qualified.</w:t>
            </w:r>
          </w:p>
        </w:tc>
        <w:tc>
          <w:tcPr>
            <w:tcW w:type="dxa" w:w="1928"/>
            <w:vAlign w:val="top"/>
          </w:tcPr>
          <w:p>
            <w:pPr>
              <w:spacing w:after="0" w:before="0"/>
            </w:pPr>
            <w:r/>
            <w:r>
              <w:rPr>
                <w:rFonts w:ascii="Aptos" w:hAnsi="Aptos"/>
                <w:b w:val="0"/>
                <w:sz w:val="13"/>
              </w:rPr>
              <w:t>Tariff; customer country-of-origin mandate; sintered NdFeB grade drift</w:t>
              <w:br/>
              <w:t>Grade: N42SH</w:t>
            </w:r>
          </w:p>
        </w:tc>
        <w:tc>
          <w:tcPr>
            <w:tcW w:type="dxa" w:w="2438"/>
            <w:vAlign w:val="top"/>
          </w:tcPr>
          <w:p>
            <w:pPr>
              <w:spacing w:after="0" w:before="0"/>
            </w:pPr>
            <w:r/>
            <w:r>
              <w:rPr>
                <w:rFonts w:ascii="Aptos" w:hAnsi="Aptos"/>
                <w:b w:val="0"/>
                <w:sz w:val="13"/>
              </w:rPr>
              <w:t>UK: tariff treatment applies to the declared import route during transition.</w:t>
            </w:r>
          </w:p>
        </w:tc>
        <w:tc>
          <w:tcPr>
            <w:tcW w:type="dxa" w:w="2438"/>
            <w:vAlign w:val="top"/>
          </w:tcPr>
          <w:p>
            <w:pPr>
              <w:spacing w:after="0" w:before="0"/>
            </w:pPr>
            <w:r/>
            <w:r>
              <w:rPr>
                <w:rFonts w:ascii="Aptos" w:hAnsi="Aptos"/>
                <w:b w:val="0"/>
                <w:sz w:val="13"/>
              </w:rPr>
              <w:t>EU: tariff treatment is not recorded as the UK treatment.</w:t>
            </w:r>
          </w:p>
        </w:tc>
        <w:tc>
          <w:tcPr>
            <w:tcW w:type="dxa" w:w="964"/>
            <w:vAlign w:val="top"/>
          </w:tcPr>
          <w:p>
            <w:pPr>
              <w:spacing w:after="0" w:before="0"/>
            </w:pPr>
            <w:r/>
            <w:r>
              <w:rPr>
                <w:rFonts w:ascii="Aptos" w:hAnsi="Aptos"/>
                <w:b w:val="0"/>
                <w:sz w:val="13"/>
              </w:rPr>
              <w:t>£9,000</w:t>
            </w:r>
          </w:p>
        </w:tc>
      </w:tr>
      <w:tr>
        <w:tc>
          <w:tcPr>
            <w:tcW w:type="dxa" w:w="1814"/>
            <w:vAlign w:val="top"/>
            <w:shd w:fill="EAF2F8"/>
          </w:tcPr>
          <w:p>
            <w:pPr>
              <w:spacing w:after="0" w:before="0"/>
            </w:pPr>
            <w:r/>
            <w:r>
              <w:rPr>
                <w:rFonts w:ascii="Aptos" w:hAnsi="Aptos"/>
                <w:b w:val="0"/>
                <w:sz w:val="13"/>
              </w:rPr>
              <w:t>SA-MAG-4764</w:t>
              <w:br/>
              <w:t>End state: tariff route and Plant F allocation apply.</w:t>
            </w:r>
          </w:p>
        </w:tc>
        <w:tc>
          <w:tcPr>
            <w:tcW w:type="dxa" w:w="1928"/>
            <w:vAlign w:val="top"/>
            <w:shd w:fill="EAF2F8"/>
          </w:tcPr>
          <w:p>
            <w:pPr>
              <w:spacing w:after="0" w:before="0"/>
            </w:pPr>
            <w:r/>
            <w:r>
              <w:rPr>
                <w:rFonts w:ascii="Aptos" w:hAnsi="Aptos"/>
                <w:b w:val="0"/>
                <w:sz w:val="13"/>
              </w:rPr>
              <w:t>Tariff; single-plant allocation</w:t>
              <w:br/>
              <w:t>Grade: N35</w:t>
            </w:r>
          </w:p>
        </w:tc>
        <w:tc>
          <w:tcPr>
            <w:tcW w:type="dxa" w:w="2438"/>
            <w:vAlign w:val="top"/>
            <w:shd w:fill="EAF2F8"/>
          </w:tcPr>
          <w:p>
            <w:pPr>
              <w:spacing w:after="0" w:before="0"/>
            </w:pPr>
            <w:r/>
            <w:r>
              <w:rPr>
                <w:rFonts w:ascii="Aptos" w:hAnsi="Aptos"/>
                <w:b w:val="0"/>
                <w:sz w:val="13"/>
              </w:rPr>
              <w:t>UK: tariff treatment applies to the declared import route in the end state.</w:t>
            </w:r>
          </w:p>
        </w:tc>
        <w:tc>
          <w:tcPr>
            <w:tcW w:type="dxa" w:w="2438"/>
            <w:vAlign w:val="top"/>
            <w:shd w:fill="EAF2F8"/>
          </w:tcPr>
          <w:p>
            <w:pPr>
              <w:spacing w:after="0" w:before="0"/>
            </w:pPr>
            <w:r/>
            <w:r>
              <w:rPr>
                <w:rFonts w:ascii="Aptos" w:hAnsi="Aptos"/>
                <w:b w:val="0"/>
                <w:sz w:val="13"/>
              </w:rPr>
              <w:t>EU: no equivalent tariff treatment recorded for this destination.</w:t>
            </w:r>
          </w:p>
        </w:tc>
        <w:tc>
          <w:tcPr>
            <w:tcW w:type="dxa" w:w="964"/>
            <w:vAlign w:val="top"/>
            <w:shd w:fill="EAF2F8"/>
          </w:tcPr>
          <w:p>
            <w:pPr>
              <w:spacing w:after="0" w:before="0"/>
            </w:pPr>
            <w:r/>
            <w:r>
              <w:rPr>
                <w:rFonts w:ascii="Aptos" w:hAnsi="Aptos"/>
                <w:b w:val="0"/>
                <w:sz w:val="13"/>
              </w:rPr>
              <w:t>£5,000</w:t>
            </w:r>
          </w:p>
        </w:tc>
      </w:tr>
    </w:tbl>
    <w:p>
      <w:pPr>
        <w:spacing w:before="40" w:after="40" w:line="240" w:lineRule="auto"/>
      </w:pPr>
      <w:r>
        <w:rPr>
          <w:rFonts w:ascii="Aptos" w:hAnsi="Aptos"/>
          <w:sz w:val="16"/>
        </w:rPr>
        <w:t>The United Kingdom and European Union treatments above are not interchangeable merely because the component or supplier is the same. Transition entries apply only until the stated alternate route or end-state configuration is qualified; end-state entries state the final recorded condition and do not extend transition treatment indefinitely.</w:t>
      </w:r>
    </w:p>
    <w:p>
      <w:pPr>
        <w:spacing w:before="80" w:after="40"/>
      </w:pPr>
      <w:r>
        <w:rPr>
          <w:rFonts w:ascii="Aptos Display" w:hAnsi="Aptos Display"/>
          <w:b/>
          <w:color w:val="1F4E79"/>
          <w:sz w:val="20"/>
        </w:rPr>
        <w:t>How the qualification work is bounded</w:t>
      </w:r>
    </w:p>
    <w:p>
      <w:pPr>
        <w:spacing w:before="0" w:after="40" w:line="240" w:lineRule="auto"/>
      </w:pPr>
      <w:r>
        <w:rPr>
          <w:rFonts w:ascii="Aptos" w:hAnsi="Aptos"/>
          <w:sz w:val="16"/>
        </w:rPr>
        <w:t>Use the usual “no more than 70% at one source or plant” diversification heuristic to investigate concentration. It is not universally applicable here: for SA-MAG-4278, the European Union end state retains Plant B as the sole allocated plant, so diversification requires a programme change; the rule is not a purchasing override. SA-MAG-4764 likewise requires separate treatment of its Plant F allocation and its tariff route.</w:t>
      </w:r>
    </w:p>
    <w:p>
      <w:pPr>
        <w:spacing w:before="0" w:after="40" w:line="240" w:lineRule="auto"/>
      </w:pPr>
      <w:r>
        <w:rPr>
          <w:rFonts w:ascii="Aptos" w:hAnsi="Aptos"/>
          <w:sz w:val="16"/>
        </w:rPr>
        <w:t>Technical work is separate from commercial or geographic exposure. SA-MAG-4589 (N48H) and SA-MAG-4631 (N42SH) have sintered NdFeB grade-drift exposure; source or plant geography is not proof of grade conformity. Tariff treatment is separate from concentration/allocation and cannot prove customer country-of-origin compliance.</w:t>
      </w:r>
    </w:p>
    <w:p>
      <w:pPr>
        <w:spacing w:before="80" w:after="40"/>
      </w:pPr>
      <w:r>
        <w:rPr>
          <w:rFonts w:ascii="Aptos Display" w:hAnsi="Aptos Display"/>
          <w:b/>
          <w:color w:val="1F4E79"/>
          <w:sz w:val="20"/>
        </w:rPr>
        <w:t>Evidence limits that remain open</w:t>
      </w:r>
    </w:p>
    <w:tbl>
      <w:tblPr>
        <w:tblStyle w:val="TableGrid"/>
        <w:tblW w:type="auto" w:w="0"/>
        <w:jc w:val="center"/>
        <w:tblLook w:firstColumn="1" w:firstRow="1" w:lastColumn="0" w:lastRow="0" w:noHBand="0" w:noVBand="1" w:val="04A0"/>
      </w:tblPr>
      <w:tblGrid>
        <w:gridCol w:w="5440"/>
        <w:gridCol w:w="5440"/>
      </w:tblGrid>
      <w:tr>
        <w:tc>
          <w:tcPr>
            <w:tcW w:type="dxa" w:w="4819"/>
            <w:vAlign w:val="top"/>
            <w:shd w:fill="1F4E78"/>
          </w:tcPr>
          <w:p>
            <w:pPr>
              <w:spacing w:after="0" w:before="0"/>
            </w:pPr>
            <w:r>
              <w:rPr>
                <w:b/>
                <w:color w:val="FFFFFF"/>
              </w:rPr>
            </w:r>
            <w:r>
              <w:rPr>
                <w:rFonts w:ascii="Aptos" w:hAnsi="Aptos"/>
                <w:b/>
                <w:color w:val="FFFFFF"/>
                <w:sz w:val="15"/>
              </w:rPr>
              <w:t>What the register supports</w:t>
            </w:r>
          </w:p>
        </w:tc>
        <w:tc>
          <w:tcPr>
            <w:tcW w:type="dxa" w:w="4819"/>
            <w:vAlign w:val="top"/>
            <w:shd w:fill="1F4E78"/>
          </w:tcPr>
          <w:p>
            <w:pPr>
              <w:spacing w:after="0" w:before="0"/>
            </w:pPr>
            <w:r>
              <w:rPr>
                <w:b/>
                <w:color w:val="FFFFFF"/>
              </w:rPr>
            </w:r>
            <w:r>
              <w:rPr>
                <w:rFonts w:ascii="Aptos" w:hAnsi="Aptos"/>
                <w:b/>
                <w:color w:val="FFFFFF"/>
                <w:sz w:val="15"/>
              </w:rPr>
              <w:t>What it does not establish</w:t>
            </w:r>
          </w:p>
        </w:tc>
      </w:tr>
      <w:tr>
        <w:tc>
          <w:tcPr>
            <w:tcW w:type="dxa" w:w="4819"/>
            <w:vAlign w:val="top"/>
          </w:tcPr>
          <w:p>
            <w:pPr>
              <w:spacing w:after="0" w:before="0"/>
            </w:pPr>
            <w:r/>
            <w:r>
              <w:rPr>
                <w:rFonts w:ascii="Aptos" w:hAnsi="Aptos"/>
                <w:b w:val="0"/>
                <w:sz w:val="14"/>
              </w:rPr>
              <w:t>A part-by-part qualification scope, the £40,000 ceiling, UK/EU treatment recorded by phase, and the need to test separate tariff, allocation, origin and grade evidence.</w:t>
            </w:r>
          </w:p>
        </w:tc>
        <w:tc>
          <w:tcPr>
            <w:tcW w:type="dxa" w:w="4819"/>
            <w:vAlign w:val="top"/>
          </w:tcPr>
          <w:p>
            <w:pPr>
              <w:spacing w:after="0" w:before="0"/>
            </w:pPr>
            <w:r/>
            <w:r>
              <w:rPr>
                <w:rFonts w:ascii="Aptos" w:hAnsi="Aptos"/>
                <w:b w:val="0"/>
                <w:sz w:val="14"/>
              </w:rPr>
              <w:t>Customer origin requirements for SA-MAG-4416 and SA-MAG-4631 cannot be declared satisfied from source or supplier location information alone; neither tariff treatment nor qualification promises customer acceptance. No technical result, price, saving, lead time, date or regulatory outcome is established.</w:t>
            </w:r>
          </w:p>
        </w:tc>
      </w:tr>
    </w:tbl>
    <w:p>
      <w:pPr>
        <w:spacing w:before="40" w:after="40" w:line="240" w:lineRule="auto"/>
      </w:pPr>
      <w:r>
        <w:rPr>
          <w:rFonts w:ascii="Aptos" w:hAnsi="Aptos"/>
          <w:sz w:val="16"/>
        </w:rPr>
        <w:t>Condition: transition conclusions remain conditional on the recorded qualification boundary. Customer-origin declarations remain open to the evidence Slateford Authority requires; do not convert that condition into an acceptance claim.</w:t>
      </w:r>
    </w:p>
    <w:p>
      <w:pPr>
        <w:spacing w:before="80" w:after="40"/>
      </w:pPr>
      <w:r>
        <w:rPr>
          <w:rFonts w:ascii="Aptos Display" w:hAnsi="Aptos Display"/>
          <w:b/>
          <w:color w:val="1F4E79"/>
          <w:sz w:val="20"/>
        </w:rPr>
        <w:t>Recommendation for signature</w:t>
      </w:r>
    </w:p>
    <w:tbl>
      <w:tblPr>
        <w:tblW w:type="auto" w:w="0"/>
        <w:tblLook w:firstColumn="1" w:firstRow="1" w:lastColumn="0" w:lastRow="0" w:noHBand="0" w:noVBand="1" w:val="04A0"/>
      </w:tblPr>
      <w:tblGrid>
        <w:gridCol w:w="10880"/>
      </w:tblGrid>
      <w:tr>
        <w:tc>
          <w:tcPr>
            <w:tcW w:type="dxa" w:w="10880"/>
            <w:shd w:fill="D9EAD3"/>
            <w:vAlign w:val="top"/>
          </w:tcPr>
          <w:p>
            <w:pPr>
              <w:spacing w:after="0" w:before="0"/>
            </w:pPr>
            <w:r/>
            <w:r>
              <w:rPr>
                <w:rFonts w:ascii="Aptos" w:hAnsi="Aptos"/>
                <w:b/>
                <w:sz w:val="17"/>
              </w:rPr>
              <w:t>RECOMMENDATION — Harriet Ogunlade should authorise the single bounded £40,000 qualification scope this quarter for the six listed parts, using the allocation shown in the crosswalk and no wider scope. The work is authorised to resolve evidence gaps by exposure and phase; it is not approval of a production second source or a complete remedy for tariff, allocation, origin, and grade issues.</w:t>
            </w:r>
          </w:p>
        </w:tc>
      </w:tr>
    </w:tbl>
    <w:p>
      <w:pPr>
        <w:spacing w:before="120" w:after="0" w:line="240" w:lineRule="auto"/>
      </w:pPr>
      <w:r>
        <w:rPr>
          <w:rFonts w:ascii="Aptos" w:hAnsi="Aptos"/>
          <w:sz w:val="16"/>
        </w:rPr>
        <w:t>Signed: ____________________________________   Harriet Ogunlade, Engineering VP     Date: __________________</w:t>
      </w:r>
    </w:p>
    <w:sectPr w:rsidR="00FC693F" w:rsidRPr="0006063C" w:rsidSect="00034616">
      <w:headerReference w:type="default" r:id="rId9"/>
      <w:footerReference w:type="default" r:id="rId10"/>
      <w:pgSz w:w="12240" w:h="15840"/>
      <w:pgMar w:top="652" w:right="680" w:bottom="595" w:left="680"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Evidence basis: magnet_exposure_register.xlsx  |  Internal decision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5"/>
      </w:rPr>
      <w:t>SILCHESTER ACTUATORS  |  Purchasing decision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