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72"/>
          <w:sz w:val="20"/>
        </w:rPr>
        <w:t>Copperlane Films</w:t>
      </w:r>
    </w:p>
    <w:p>
      <w:pPr>
        <w:jc w:val="center"/>
      </w:pPr>
      <w:r>
        <w:rPr>
          <w:b/>
          <w:color w:val="173B4D"/>
          <w:sz w:val="40"/>
        </w:rPr>
        <w:t>Fee Benchmarking Note</w:t>
      </w:r>
    </w:p>
    <w:p>
      <w:pPr>
        <w:jc w:val="center"/>
      </w:pPr>
      <w:r>
        <w:rPr>
          <w:i/>
        </w:rPr>
        <w:t>Vellumstone Fisheries — Rosalind Ellingsen cut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315C72"/>
          </w:tcPr>
          <w:p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type="dxa" w:w="5256"/>
            <w:shd w:fill="315C72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315C72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Rosalind Ellingsen; Dagny Nightingale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Support the agency fee discussion for the proposed licensing extension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Review before the agency discussion next week</w:t>
            </w:r>
          </w:p>
        </w:tc>
      </w:tr>
    </w:tbl>
    <w:p>
      <w:pPr>
        <w:pStyle w:val="Heading1"/>
      </w:pPr>
      <w:r>
        <w:t>Recommended position</w:t>
      </w:r>
    </w:p>
    <w:p>
      <w:r>
        <w:rPr>
          <w:b/>
          <w:color w:val="0B5F52"/>
        </w:rPr>
        <w:t xml:space="preserve">Negotiation range: $24,000–$31,500. </w:t>
      </w:r>
      <w:r>
        <w:t>This is Copperlane Films’ negotiating position, not an externally verified market rate. The lower bound is the supplied revised talent re-use rate basis ($12,000 for a 24-month online extension plus $12,000 for two new territories); the upper bound is the $31,500 source fee on CL-103, the closest but broader-scope comparator.</w:t>
      </w:r>
    </w:p>
    <w:p>
      <w:pPr>
        <w:pStyle w:val="Heading1"/>
      </w:pPr>
      <w:r>
        <w:t>Proposed scope</w:t>
      </w:r>
    </w:p>
    <w:p>
      <w:r>
        <w:t>License the existing 30-second Rosalind Ellingsen commercial cut into Germany and the Nordic countries (Denmark, Finland, Iceland, Norway and Sweden), with a two-year online extension. This is a re-use of the existing commercial, not a new production. The note supports Copperlane Films in the agency fee discussion. No additional cutdowns are requested.</w:t>
      </w:r>
    </w:p>
    <w:p>
      <w:pPr>
        <w:pStyle w:val="Heading1"/>
      </w:pPr>
      <w:r>
        <w:t>Evidence and comparator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shd w:fill="315C72"/>
          </w:tcPr>
          <w:p>
            <w:r>
              <w:rPr>
                <w:b/>
                <w:color w:val="FFFFFF"/>
                <w:sz w:val="16"/>
              </w:rPr>
              <w:t>Prior deal</w:t>
            </w:r>
          </w:p>
        </w:tc>
        <w:tc>
          <w:tcPr>
            <w:tcW w:type="dxa" w:w="1080"/>
            <w:shd w:fill="315C72"/>
          </w:tcPr>
          <w:p>
            <w:r>
              <w:rPr>
                <w:b/>
                <w:color w:val="FFFFFF"/>
                <w:sz w:val="16"/>
              </w:rPr>
              <w:t>Source fee</w:t>
            </w:r>
          </w:p>
        </w:tc>
        <w:tc>
          <w:tcPr>
            <w:tcW w:type="dxa" w:w="4176"/>
            <w:shd w:fill="315C72"/>
          </w:tcPr>
          <w:p>
            <w:r>
              <w:rPr>
                <w:b/>
                <w:color w:val="FFFFFF"/>
                <w:sz w:val="16"/>
              </w:rPr>
              <w:t>Source scope</w:t>
            </w:r>
          </w:p>
        </w:tc>
        <w:tc>
          <w:tcPr>
            <w:tcW w:type="dxa" w:w="2520"/>
            <w:shd w:fill="315C72"/>
          </w:tcPr>
          <w:p>
            <w:r>
              <w:rPr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CL-101 — Harbor Light – Ellingsen cut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$18,500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15 Mar 2022; US + Canada; Broadcast + Online; 12 months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Qualified context — not range anchor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CL-102 — Tide Lines – Ellingsen cut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$22,000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01 Sep 2023; UK + Ireland; Broadcast-only; 18 months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Excluded from direct range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CL-103 — North Current – Ellingsen cut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$31,500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10 Nov 2024; US + Canada + Australia; Online + social; 24 months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Closest comparator / qualified anchor</w:t>
            </w:r>
          </w:p>
        </w:tc>
      </w:tr>
    </w:tbl>
    <w:p>
      <w:r>
        <w:t>Closest comparator — CL-103 / North Current. It is the closest because it is the only prior deal with a 24-month online term for the retained 30-second master. Its scope includes online + social and US + Canada + Australia, which is broader than the requested Germany and Nordic countries extension. Accordingly, use its $31,500 source fee as an upper contextual anchor, not a direct equivalence.</w:t>
      </w:r>
    </w:p>
    <w:p>
      <w:r>
        <w:t>CL-102 / Tide Lines is broadcast-only in UK + Ireland for 18 months and the correspondence says it does not include online use. It is excluded from the direct range: a single broadcast territory bundle is not comparable to the requested two-year online extension, though it confirms the distinction should remain explicit.</w:t>
      </w:r>
    </w:p>
    <w:p>
      <w:r>
        <w:t>CL-101 / Harbor Light is qualified context. Its $18,500 fee was effective 15 Mar 2022, before the revised talent re-use rates took effect on 01-Jan-2024. It also contracted a 15s/06s cutdown package, yet correspondence confirms neither cutdown was trafficked or used; only the 30s master ran. Contracted inclusion is therefore not evidence that the proposed extension needs or uses cutdowns.</w:t>
      </w:r>
    </w:p>
    <w:p>
      <w:pPr>
        <w:pStyle w:val="Heading1"/>
      </w:pPr>
      <w:r>
        <w:t>Range basis and limitations</w:t>
      </w:r>
    </w:p>
    <w:p>
      <w:r>
        <w:t>The lower bound is a transparent supplied-rate calculation: $12,000 online extension + $6,000 per new territory × 2 = $24,000. The upper bound remains CL-103’s source fee because it is the closest available online/24-month record, while its three-territory scope makes it a ceiling for discussion rather than a like-for-like number. The recommendation preserves the source fees; it does not apply an unsupported percentage adjustment.</w:t>
      </w:r>
    </w:p>
    <w:p>
      <w:r>
        <w:t>Limitations: the supplied evidence does not separate CL-103’s fee by territory or by social versus online use, and it does not state a value for unused CL-101 cutdowns. The workbook’s quantity field is packs/shipment packs, not individual edits; no per-edit conversion is assumed. These gaps do not support a stronger conclusion.</w:t>
      </w:r>
    </w:p>
    <w:p>
      <w:pPr>
        <w:pStyle w:val="Heading1"/>
      </w:pPr>
      <w:r>
        <w:t>Negotiation-ready conclusion</w:t>
      </w:r>
    </w:p>
    <w:p>
      <w:r>
        <w:t>Dagny Nightingale can present $24,000–$31,500 as Copperlane’s position for the existing 30-second cut, Germany and the Nordic countries, and a two-year online extension. Start from the current supplied rate basis and retain room up to the closest broader online comparator. Keep CL-102 outside the direct range and identify CL-101’s pre-revision timing and unused cutdowns if the agency cites it.</w:t>
      </w:r>
    </w:p>
    <w:p>
      <w:pPr>
        <w:pStyle w:val="Heading1"/>
      </w:pPr>
      <w:r>
        <w:t>Sources reviewed</w:t>
      </w:r>
    </w:p>
    <w:p>
      <w:r>
        <w:t>copperlane_source_comps.xlsx; copperlane_scope_brief.docx; copperlane_talent_rates.pdf; copperlane_deal_correspondence.docx. “Source fee” and historical descriptors above are copied from the workbook; treatment and negotiation range are editorial judgement based only on those supplied sources.</w:t>
      </w:r>
    </w:p>
    <w:sectPr w:rsidR="00FC693F" w:rsidRPr="0006063C" w:rsidSect="00034616"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C7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C7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