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21" w:lineRule="auto"/>
      </w:pPr>
      <w:r>
        <w:rPr>
          <w:b/>
          <w:i w:val="0"/>
          <w:color w:val="17365D"/>
          <w:sz w:val="30"/>
        </w:rPr>
        <w:t>Hearing Threshold Shifts: HR Classification &amp; Follow-up Guide</w:t>
      </w:r>
    </w:p>
    <w:p>
      <w:pPr>
        <w:spacing w:after="60" w:line="228" w:lineRule="auto"/>
      </w:pPr>
      <w:r>
        <w:rPr>
          <w:b/>
          <w:i w:val="0"/>
          <w:color w:val="4F5B66"/>
          <w:sz w:val="16"/>
        </w:rPr>
        <w:t>For the fourteen reported shifts from the deboning lines: classify only after reviewing the audiograms. No worker-level outcome can be decided from the count of reported shifts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</w:tblGrid>
      <w:tr>
        <w:tc>
          <w:tcPr>
            <w:tcW w:type="dxa" w:w="3096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1. STS </w:t>
            </w:r>
            <w:r>
              <w:rPr>
                <w:b w:val="0"/>
                <w:i w:val="0"/>
                <w:sz w:val="15"/>
              </w:rPr>
              <w:t>A standard threshold shift (STS) is a comparison result—not automatically a recordable case.</w:t>
            </w:r>
          </w:p>
        </w:tc>
        <w:tc>
          <w:tcPr>
            <w:tcW w:type="dxa" w:w="3096"/>
            <w:shd w:fill="F2F4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2. Recordability </w:t>
            </w:r>
            <w:r>
              <w:rPr>
                <w:b w:val="0"/>
                <w:i w:val="0"/>
                <w:sz w:val="15"/>
              </w:rPr>
              <w:t>A separate OSHA recordkeeping decision with additional conditions.</w:t>
            </w:r>
          </w:p>
        </w:tc>
        <w:tc>
          <w:tcPr>
            <w:tcW w:type="dxa" w:w="3096"/>
            <w:shd w:fill="F2F4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3. Follow-up </w:t>
            </w:r>
            <w:r>
              <w:rPr>
                <w:b w:val="0"/>
                <w:i w:val="0"/>
                <w:sz w:val="15"/>
              </w:rPr>
              <w:t>Hearing conservation duties can apply even when the 300 Log does not.</w:t>
            </w:r>
          </w:p>
        </w:tc>
      </w:tr>
    </w:tbl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Key terms in plain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6"/>
        <w:gridCol w:w="5486"/>
      </w:tblGrid>
      <w:tr>
        <w:tc>
          <w:tcPr>
            <w:tcW w:type="dxa" w:w="1800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Baseline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488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the audiogram against which later thresholds are compared. Verify the correct worker, ear, date, and applicable prior audiogram before calculating any shift.</w:t>
            </w:r>
          </w:p>
        </w:tc>
      </w:tr>
      <w:tr>
        <w:tc>
          <w:tcPr>
            <w:tcW w:type="dxa" w:w="1800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STS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488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for each ear separately, an average worsening of 10 dB or more at 2,000, 3,000, and 4,000 Hz compared with the baseline. Either ear can meet the rule; both ears do not have to.</w:t>
            </w:r>
          </w:p>
        </w:tc>
      </w:tr>
      <w:tr>
        <w:tc>
          <w:tcPr>
            <w:tcW w:type="dxa" w:w="1800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Recordable hearing-loss case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488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a work-related, persistent/permanent STS that also shows an average total hearing level of 25 dB or more above audiometric zero at 2,000, 3,000, and 4,000 Hz in the same ear.</w:t>
            </w:r>
          </w:p>
        </w:tc>
      </w:tr>
    </w:tbl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Decision sequence — use this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72"/>
      </w:tblGrid>
      <w:tr>
        <w:tc>
          <w:tcPr>
            <w:tcW w:type="dxa" w:w="10972"/>
            <w:shd w:fill="F7FAFC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20" w:line="230" w:lineRule="auto"/>
            </w:pPr>
            <w:r>
              <w:rPr>
                <w:b/>
                <w:i w:val="0"/>
                <w:color w:val="17365D"/>
                <w:sz w:val="16"/>
              </w:rPr>
              <w:t xml:space="preserve">1  VERIFY  </w:t>
            </w:r>
            <w:r>
              <w:rPr>
                <w:b w:val="0"/>
                <w:i w:val="0"/>
                <w:sz w:val="16"/>
              </w:rPr>
              <w:t>Match the worker, ear, test date, baseline, and applicable prior audiogram; check that the comparison is usable.</w:t>
            </w:r>
          </w:p>
          <w:p>
            <w:pPr>
              <w:spacing w:after="20" w:line="230" w:lineRule="auto"/>
            </w:pPr>
            <w:r>
              <w:rPr>
                <w:b/>
                <w:i w:val="0"/>
                <w:color w:val="17365D"/>
                <w:sz w:val="16"/>
              </w:rPr>
              <w:t xml:space="preserve">2  CALCULATE  </w:t>
            </w:r>
            <w:r>
              <w:rPr>
                <w:b w:val="0"/>
                <w:i w:val="0"/>
                <w:sz w:val="16"/>
              </w:rPr>
              <w:t>For each ear, average the change at 2/3/4 kHz. Is worsening 10 dB or more? If yes, it is an STS.</w:t>
            </w:r>
          </w:p>
          <w:p>
            <w:pPr>
              <w:spacing w:after="20" w:line="230" w:lineRule="auto"/>
            </w:pPr>
            <w:r>
              <w:rPr>
                <w:b/>
                <w:i w:val="0"/>
                <w:color w:val="17365D"/>
                <w:sz w:val="16"/>
              </w:rPr>
              <w:t xml:space="preserve">3  CONFIRM  </w:t>
            </w:r>
            <w:r>
              <w:rPr>
                <w:b w:val="0"/>
                <w:i w:val="0"/>
                <w:sz w:val="16"/>
              </w:rPr>
              <w:t>The employer may retest within 30 days of the initial audiogram. Use the retest to determine whether the shift is confirmed; do not treat the initial result as final while that permitted window is being assessed.</w:t>
            </w:r>
          </w:p>
          <w:p>
            <w:pPr>
              <w:spacing w:after="20" w:line="230" w:lineRule="auto"/>
            </w:pPr>
            <w:r>
              <w:rPr>
                <w:b/>
                <w:i w:val="0"/>
                <w:color w:val="17365D"/>
                <w:sz w:val="16"/>
              </w:rPr>
              <w:t xml:space="preserve">4  RECORD?  </w:t>
            </w:r>
            <w:r>
              <w:rPr>
                <w:b w:val="0"/>
                <w:i w:val="0"/>
                <w:sz w:val="16"/>
              </w:rPr>
              <w:t>For a final case, check separately: work-relatedness; persistence/permanence (not returned to baseline in the applicable assessment); and average total hearing level 25 dB or more above audiometric zero in the same ear. Record only when all apply.</w:t>
            </w:r>
          </w:p>
          <w:p>
            <w:pPr>
              <w:spacing w:after="20" w:line="230" w:lineRule="auto"/>
            </w:pPr>
            <w:r>
              <w:rPr>
                <w:b/>
                <w:i w:val="0"/>
                <w:color w:val="17365D"/>
                <w:sz w:val="16"/>
              </w:rPr>
              <w:t xml:space="preserve">5  ACT  </w:t>
            </w:r>
            <w:r>
              <w:rPr>
                <w:b w:val="0"/>
                <w:i w:val="0"/>
                <w:sz w:val="16"/>
              </w:rPr>
              <w:t>Complete worker notice and hearing-conservation follow-up for an STS; complete OSHA recordkeeping only for a qualifying recordable case.</w:t>
            </w:r>
          </w:p>
        </w:tc>
      </w:tr>
    </w:tbl>
    <w:p>
      <w:pPr>
        <w:spacing w:after="40" w:line="235" w:lineRule="auto"/>
      </w:pPr>
      <w:r>
        <w:rPr>
          <w:b/>
          <w:i w:val="0"/>
          <w:color w:val="17365D"/>
          <w:sz w:val="16"/>
        </w:rPr>
        <w:t xml:space="preserve">REQUIREMENT — age correction. </w:t>
      </w:r>
      <w:r>
        <w:rPr>
          <w:b w:val="0"/>
          <w:i w:val="0"/>
          <w:sz w:val="16"/>
        </w:rPr>
        <w:t>For OSHA recordkeeping, the employer may use the age-correction tables in 29 CFR 1910.95 Appendix F when determining whether the recordability criteria are met. It is a limited permitted consideration—not a universal subtraction, not a substitute for the baseline comparison, and not a reason to skip the separate STS, 25 dB, work-relatedness, and persistence checks.</w:t>
      </w:r>
    </w:p>
    <w:p>
      <w:r>
        <w:br w:type="page"/>
      </w:r>
    </w:p>
    <w:p>
      <w:pPr>
        <w:spacing w:before="0" w:after="20" w:line="221" w:lineRule="auto"/>
      </w:pPr>
      <w:r>
        <w:rPr>
          <w:b/>
          <w:i w:val="0"/>
          <w:color w:val="17365D"/>
          <w:sz w:val="30"/>
        </w:rPr>
        <w:t>Employer Duties, Quality Checks &amp; Safe Escalation</w:t>
      </w:r>
    </w:p>
    <w:p>
      <w:pPr>
        <w:spacing w:after="60" w:line="228" w:lineRule="auto"/>
      </w:pPr>
      <w:r>
        <w:rPr>
          <w:b w:val="0"/>
          <w:i w:val="0"/>
          <w:sz w:val="16"/>
        </w:rPr>
        <w:t xml:space="preserve">Use the labels below deliberately: </w:t>
      </w:r>
      <w:r>
        <w:rPr>
          <w:b/>
          <w:i w:val="0"/>
          <w:color w:val="17365D"/>
          <w:sz w:val="16"/>
        </w:rPr>
        <w:t>REQUIREMENT</w:t>
      </w:r>
      <w:r>
        <w:rPr>
          <w:b w:val="0"/>
          <w:i w:val="0"/>
          <w:sz w:val="16"/>
        </w:rPr>
        <w:t xml:space="preserve"> = federal OSHA duty; </w:t>
      </w:r>
      <w:r>
        <w:rPr>
          <w:b/>
          <w:i w:val="0"/>
          <w:color w:val="8A5A00"/>
          <w:sz w:val="16"/>
        </w:rPr>
        <w:t>CAUTION</w:t>
      </w:r>
      <w:r>
        <w:rPr>
          <w:b w:val="0"/>
          <w:i w:val="0"/>
          <w:sz w:val="16"/>
        </w:rPr>
        <w:t xml:space="preserve"> = do not make a premature classification; </w:t>
      </w:r>
      <w:r>
        <w:rPr>
          <w:b/>
          <w:i w:val="0"/>
          <w:color w:val="38761D"/>
          <w:sz w:val="16"/>
        </w:rPr>
        <w:t>REVIEW</w:t>
      </w:r>
      <w:r>
        <w:rPr>
          <w:b w:val="0"/>
          <w:i w:val="0"/>
          <w:sz w:val="16"/>
        </w:rPr>
        <w:t xml:space="preserve"> = occupational-health/audiology assessment.</w:t>
      </w:r>
    </w:p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Required actions after the determination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6"/>
        <w:gridCol w:w="5486"/>
      </w:tblGrid>
      <w:tr>
        <w:tc>
          <w:tcPr>
            <w:tcW w:type="dxa" w:w="1944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STS notice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44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REQUIREMENT — Notify the employee in writing within 21 days after the STS is determined. Inform the employee of the result and the need for hearing-protection/hearing-conservation follow-up as applicable.</w:t>
            </w:r>
          </w:p>
        </w:tc>
      </w:tr>
      <w:tr>
        <w:tc>
          <w:tcPr>
            <w:tcW w:type="dxa" w:w="1944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Protection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44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REQUIREMENT — When hearing-conservation requirements apply, provide and make hearing protectors available. Fit, refit, training, and actual use matter; handing over earplugs alone is not enough.</w:t>
            </w:r>
          </w:p>
        </w:tc>
      </w:tr>
      <w:tr>
        <w:tc>
          <w:tcPr>
            <w:tcW w:type="dxa" w:w="1944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Exposure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44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REQUIREMENT — Include employees exposed at or above an 85 dBA 8-hour time-weighted average (TWA) in the hearing conservation program. REVIEW — revisit exposure assessment and controls when shifts or conditions suggest a problem.</w:t>
            </w:r>
          </w:p>
        </w:tc>
      </w:tr>
      <w:tr>
        <w:tc>
          <w:tcPr>
            <w:tcW w:type="dxa" w:w="1944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OSHA log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44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REQUIREMENT — Enter a qualifying recordable case on the OSHA Form 300 Log within 7 calendar days after the case is determined. An STS by itself is not an automatic log entry.</w:t>
            </w:r>
          </w:p>
        </w:tc>
      </w:tr>
      <w:tr>
        <w:tc>
          <w:tcPr>
            <w:tcW w:type="dxa" w:w="1944"/>
            <w:shd w:fill="D9EAF7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Records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344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REQUIREMENT — Retain audiometric records and supporting documentation under OSHA retention rules. Audiometric test records are retained for the affected employee’s employment; employee medical records are retained for employment plus 30 years where 29 CFR 1910.1020 applies.</w:t>
            </w:r>
          </w:p>
        </w:tc>
      </w:tr>
    </w:tbl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Do not let the baseline or test quality decide the case by convenience</w:t>
      </w:r>
    </w:p>
    <w:p>
      <w:pPr>
        <w:spacing w:after="20" w:line="235" w:lineRule="auto"/>
      </w:pPr>
      <w:r>
        <w:rPr>
          <w:b/>
          <w:i w:val="0"/>
          <w:color w:val="17365D"/>
          <w:sz w:val="16"/>
        </w:rPr>
        <w:t xml:space="preserve">REQUIREMENT — baseline revision. </w:t>
      </w:r>
      <w:r>
        <w:rPr>
          <w:b w:val="0"/>
          <w:i w:val="0"/>
          <w:sz w:val="16"/>
        </w:rPr>
        <w:t>Do not revise a baseline merely to make a shift disappear. An annual audiogram may replace the baseline only when the audiologist, otolaryngologist, or physician determines that the STS is persistent; use another revision basis only if the governing requirement permits it.</w:t>
      </w:r>
    </w:p>
    <w:p>
      <w:pPr>
        <w:spacing w:after="20" w:line="235" w:lineRule="auto"/>
      </w:pPr>
      <w:r>
        <w:rPr>
          <w:b/>
          <w:i w:val="0"/>
          <w:color w:val="17365D"/>
          <w:sz w:val="16"/>
        </w:rPr>
        <w:t xml:space="preserve">CAUTION — quality first. </w:t>
      </w:r>
      <w:r>
        <w:rPr>
          <w:b w:val="0"/>
          <w:i w:val="0"/>
          <w:sz w:val="16"/>
        </w:rPr>
        <w:t>Inadequate quiet before testing, poor test conditions/equipment, or a temporary conductive issue can distort a comparison. Do not treat that result as settled; arrange review or permitted retesting before final classification.</w:t>
      </w:r>
    </w:p>
    <w:p>
      <w:pPr>
        <w:spacing w:after="40" w:line="235" w:lineRule="auto"/>
      </w:pPr>
      <w:r>
        <w:rPr>
          <w:b/>
          <w:i w:val="0"/>
          <w:color w:val="17365D"/>
          <w:sz w:val="16"/>
        </w:rPr>
        <w:t xml:space="preserve">REVIEW — professional follow-up. </w:t>
      </w:r>
      <w:r>
        <w:rPr>
          <w:b w:val="0"/>
          <w:i w:val="0"/>
          <w:sz w:val="16"/>
        </w:rPr>
        <w:t>Seek occupational-health or audiology review for questionable test quality, a possible temporary medical condition, persistent shift, referral criteria, or uncertainty about work-relatedness. Threshold data do not diagnose a condition or establish benefits.</w:t>
      </w:r>
    </w:p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Two generic ambiguity reminders (not findings for any worker)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6"/>
        <w:gridCol w:w="5486"/>
      </w:tblGrid>
      <w:tr>
        <w:tc>
          <w:tcPr>
            <w:tcW w:type="dxa" w:w="1728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Case A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560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A 10 dB STS can exist but still fail the separate 25 dB hearing-level-above-audiometric-zero criterion; it is not automatically recordable.</w:t>
            </w:r>
          </w:p>
        </w:tc>
      </w:tr>
      <w:tr>
        <w:tc>
          <w:tcPr>
            <w:tcW w:type="dxa" w:w="1728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2CC"/>
          </w:tcPr>
          <w:p>
            <w:pPr>
              <w:spacing w:after="0" w:line="240" w:lineRule="auto"/>
            </w:pPr>
            <w:r>
              <w:rPr>
                <w:b/>
                <w:i w:val="0"/>
                <w:color w:val="17365D"/>
                <w:sz w:val="15"/>
              </w:rPr>
              <w:t xml:space="preserve">Case B </w:t>
            </w:r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7560"/>
            <w:tcBorders>
              <w:top w:val="single" w:sz="6" w:color="B7C4D6"/>
              <w:left w:val="single" w:sz="6" w:color="B7C4D6"/>
              <w:bottom w:val="single" w:sz="6" w:color="B7C4D6"/>
              <w:right w:val="single" w:sz="6" w:color="B7C4D6"/>
            </w:tcBorders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5"/>
              </w:rPr>
              <w:t>A questionable initial result may require quality review or the permitted 30-day retest; it is not automatically confirmed or erased.</w:t>
            </w:r>
          </w:p>
        </w:tc>
      </w:tr>
    </w:tbl>
    <w:p>
      <w:pPr>
        <w:spacing w:before="80" w:after="20" w:line="216" w:lineRule="auto"/>
      </w:pPr>
      <w:r>
        <w:rPr>
          <w:b/>
          <w:i w:val="0"/>
          <w:color w:val="17365D"/>
          <w:sz w:val="19"/>
        </w:rPr>
        <w:t>Classification-and-duty summary</w:t>
      </w:r>
    </w:p>
    <w:p>
      <w:pPr>
        <w:spacing w:after="20" w:line="235" w:lineRule="auto"/>
      </w:pPr>
      <w:r>
        <w:rPr>
          <w:b/>
          <w:i w:val="0"/>
          <w:color w:val="17365D"/>
          <w:sz w:val="16"/>
        </w:rPr>
        <w:t xml:space="preserve">For each reported shift: </w:t>
      </w:r>
      <w:r>
        <w:rPr>
          <w:b w:val="0"/>
          <w:i w:val="0"/>
          <w:sz w:val="16"/>
        </w:rPr>
        <w:t>verify the record and test quality; calculate STS ear-by-ear; consider the 30-day retest; then make the distinct recordability decision using the 25 dB criterion, work-relatedness, and persistence/permanence. Give timely written STS notice and protection/program follow-up as applicable. Log only a qualifying case. Send unresolved facts to occupational health/audiology—do not assign a worker-specific result without the audiogram and review.</w:t>
      </w:r>
    </w:p>
    <w:p>
      <w:pPr>
        <w:spacing w:before="40" w:after="0" w:line="216" w:lineRule="auto"/>
      </w:pPr>
      <w:r>
        <w:rPr>
          <w:b w:val="0"/>
          <w:i/>
          <w:color w:val="5B6573"/>
          <w:sz w:val="13"/>
        </w:rPr>
        <w:t>Authority snapshot: 29 CFR 1904.10; 29 CFR 1910.95(g), (i), (m) and Appendix F; 29 CFR 1910.1020. Federal OSHA framework current as of December 31,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62" w:right="634" w:bottom="547" w:left="634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B6573"/>
        <w:sz w:val="13"/>
      </w:rPr>
      <w:t>Federal OSHA guide • current as of December 31, 2024 • educational/administrative use; not a diagnosis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b/>
        <w:i w:val="0"/>
        <w:color w:val="17365D"/>
        <w:sz w:val="15"/>
      </w:rPr>
      <w:t>BALLANTRY FOUNDRY  |  HR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Hearing Threshold Shifts: HR Classification &amp; Follow-up Guide</dc:title>
  <dc:subject>Federal OSHA occupational health recordkeeping and follow-up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