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32"/>
        </w:rPr>
        <w:t>Coverage terms and case evidence</w:t>
      </w:r>
    </w:p>
    <w:p>
      <w:pPr>
        <w:jc w:val="center"/>
      </w:pPr>
      <w:r>
        <w:rPr>
          <w:i/>
        </w:rPr>
        <w:t>Vellumstone Manufacturing / Vellumstone Alliance airport account  •  Current terms used for September 2026 planning</w:t>
      </w:r>
    </w:p>
    <w:p>
      <w:pPr>
        <w:pStyle w:val="Heading2"/>
      </w:pPr>
      <w:r>
        <w:rPr>
          <w:color w:val="1F4E79"/>
        </w:rPr>
        <w:t>Corporate card rental protection — benefit excerpt</w:t>
      </w:r>
    </w:p>
    <w:p>
      <w:r>
        <w:t>The designated Vellumstone corporate card provides collision damage, theft, reasonable towing, loss-of-use and administrative-charge protection for an eligible rental. There is no card-benefit deductible. The entire rental must be paid with that card; an eligible employee must be the named renter; and the rental must not exceed 27 consecutive days. The benefit does not apply if the renter accepts the rental company’s Loss Damage Waiver. Vehicles designed to carry more than eight occupants are excluded. The account’s passenger-van class is designed for 12 occupants; its sedans and standard SUVs are not excluded.</w:t>
      </w:r>
    </w:p>
    <w:p>
      <w:pPr>
        <w:pStyle w:val="Heading2"/>
      </w:pPr>
      <w:r>
        <w:rPr>
          <w:color w:val="1F4E79"/>
        </w:rPr>
        <w:t>Vellumstone Manufacturing fleet policy — current excerpt</w:t>
      </w:r>
    </w:p>
    <w:p>
      <w:r>
        <w:t>Hired-auto physical-damage protection applies to every booked class in Arizona and New York, including the 12-occupant passenger vans. The policy has a $2,375 deductible for each covered occurrence. This is the applicable one-occurrence exposure assumption for the upcoming-rental planning.</w:t>
      </w:r>
    </w:p>
    <w:p>
      <w:pPr>
        <w:pStyle w:val="Heading2"/>
      </w:pPr>
      <w:r>
        <w:rPr>
          <w:color w:val="1F4E79"/>
        </w:rPr>
        <w:t>Vellumstone Alliance Loss Damage Waiver — Arizona</w:t>
      </w:r>
    </w:p>
    <w:p>
      <w:r>
        <w:t>For Arizona rentals, Loss Damage Waiver is available for all booked classes. When the rental conditions are met, it waives the renter’s responsibility for covered physical damage and the associated reasonable towing, loss-of-use and administrative charges. The current passenger-van rate is $31.75 per rental day.</w:t>
      </w:r>
    </w:p>
    <w:p>
      <w:pPr>
        <w:pStyle w:val="Heading2"/>
      </w:pPr>
      <w:r>
        <w:rPr>
          <w:color w:val="1F4E79"/>
        </w:rPr>
        <w:t>New York account addendum</w:t>
      </w:r>
    </w:p>
    <w:p>
      <w:r>
        <w:t>Vellumstone Alliance may not attach the offered Loss Damage Waiver to this account’s passenger vans designed for more than eight occupants for a New York rental. Loss Damage Waiver remains available for the other booked classes in New York. This addendum does not change fleet-policy protection.</w:t>
      </w:r>
    </w:p>
    <w:p>
      <w:pPr>
        <w:pStyle w:val="Heading2"/>
      </w:pPr>
      <w:r>
        <w:rPr>
          <w:color w:val="1F4E79"/>
        </w:rPr>
        <w:t>Counter compensation disclosure</w:t>
      </w:r>
    </w:p>
    <w:p>
      <w:r>
        <w:t>For each Loss Damage Waiver attachment, Vellumstone Alliance credits the assigned counter clerk $7.25. The credit does not alter the coverage terms above.</w:t>
      </w:r>
    </w:p>
    <w:p>
      <w:r>
        <w:rPr>
          <w:i/>
        </w:rPr>
        <w:t>Prepared from current account and coverage records. No external legal or state-law interpretation is required for this account instruction.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Internal case evidence • Vellumstone Alliance • 20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