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FIDUCIARY ADVICE MEMO</w:t>
      </w:r>
    </w:p>
    <w:p>
      <w:pPr>
        <w:jc w:val="center"/>
      </w:pPr>
      <w:r>
        <w:rPr>
          <w:i/>
        </w:rPr>
        <w:t>Saltcombe Alliance Retirement Benefit Plan | Trustee decision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To</w:t>
            </w:r>
          </w:p>
        </w:tc>
        <w:tc>
          <w:tcPr>
            <w:tcW w:type="dxa" w:w="5040"/>
          </w:tcPr>
          <w:p>
            <w:r>
              <w:t>Saltcombe Alliance trustees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From</w:t>
            </w:r>
          </w:p>
        </w:tc>
        <w:tc>
          <w:tcPr>
            <w:tcW w:type="dxa" w:w="5040"/>
          </w:tcPr>
          <w:p>
            <w:r>
              <w:t>Marisol Oduya, Quarryfield Field Services, supporting Lucia Trevelyan and Tamsin Salcedo at Wraysbury Fiduciary Advisors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24 August 2026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040"/>
          </w:tcPr>
          <w:p>
            <w:r>
              <w:t>Northmere Direct Lending Fund — Class I proposed commitment</w:t>
            </w:r>
          </w:p>
        </w:tc>
      </w:tr>
    </w:tbl>
    <w:p>
      <w:pPr>
        <w:pStyle w:val="Heading1"/>
      </w:pPr>
      <w:r>
        <w:t>Decision</w:t>
      </w:r>
    </w:p>
    <w:p>
      <w:r>
        <w:rPr>
          <w:b/>
        </w:rPr>
        <w:t xml:space="preserve">Recommendation: DO NOT COMMIT </w:t>
      </w:r>
      <w:r>
        <w:t xml:space="preserve">the proposed $7,650,000 subscription to Northmere Direct Lending Fund, Class I, on the supplied record. </w:t>
      </w:r>
      <w:r>
        <w:rPr>
          <w:b/>
        </w:rPr>
        <w:t xml:space="preserve">Plan-asset conclusion: YES — </w:t>
      </w:r>
      <w:r>
        <w:t>under the supplied DOL text, benefit-plan investors would hold 28.33% of the relevant Class I interests immediately after acquisition, above the 25% class threshold. The vehicle is privately offered and does not qualify for the supplied publicly-offered exception; its underlying assets are therefore treated as plan assets on these facts (Exhibits A–C).</w:t>
      </w:r>
    </w:p>
    <w:p>
      <w:pPr>
        <w:pStyle w:val="Heading1"/>
      </w:pPr>
      <w:r>
        <w:t>Why this is the decision</w:t>
      </w:r>
    </w:p>
    <w:p>
      <w:pPr>
        <w:pStyle w:val="ListBullet"/>
      </w:pPr>
      <w:r>
        <w:t>The immediately-after-acquisition calculation uses active records, not the retired helper: ($3,300,000 existing Cedar Pension Trust benefit-plan commitment + $7,650,000 Saltcombe subscription) ÷ ($31,000,000 pre-subscription Class I commitments + $7,650,000 subscription) = 28.33% (Exhibits A–C; workbook headline block). This is 3.33 percentage points above the supplied 25% threshold. The Class I schedule and account-reference extract are matched by lowercasing and trimming trailing whitespace.</w:t>
      </w:r>
    </w:p>
    <w:p>
      <w:pPr>
        <w:pStyle w:val="ListBullet"/>
      </w:pPr>
      <w:r>
        <w:t>Redemption history shows 3 completed outcomes totaling $2,500,000 against $4,400,000 of all requests, a 56.8% completed-amount rate for 15 March 2024–18 July 2025 (Exhibit D). Requests, pending outcomes and the cancelled outcome are kept distinct. The 5 April 2025 request completed the same day; we include its $400,000 in the headline because its outcome is Completed, while showing a sensitivity of 52.5% excluding that boundary record. This behaviour does not demonstrate dependable liquidity for a benefit plan and supports a do-not-commit recommendation.</w:t>
      </w:r>
    </w:p>
    <w:p>
      <w:pPr>
        <w:pStyle w:val="ListBullet"/>
      </w:pPr>
      <w:r>
        <w:t>The principal downside is the above-threshold plan-assets treatment combined with uncertain exit timing. A later class inflow, transfer, or reclassification may change the percentage but does not cure this recommendation; pending requests also show that a request is not the same as a completed redemption.</w:t>
      </w:r>
    </w:p>
    <w:p>
      <w:pPr>
        <w:pStyle w:val="Heading1"/>
      </w:pPr>
      <w:r>
        <w:t>Sourced facts and calculations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Figure / treatment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360"/>
          </w:tcPr>
          <w:p>
            <w:r>
              <w:t>Proposed subscription</w:t>
            </w:r>
          </w:p>
        </w:tc>
        <w:tc>
          <w:tcPr>
            <w:tcW w:type="dxa" w:w="3360"/>
          </w:tcPr>
          <w:p>
            <w:r>
              <w:t>$7,650,000</w:t>
            </w:r>
          </w:p>
        </w:tc>
        <w:tc>
          <w:tcPr>
            <w:tcW w:type="dxa" w:w="3360"/>
          </w:tcPr>
          <w:p>
            <w:r>
              <w:t>Exhibit B / C</w:t>
            </w:r>
          </w:p>
        </w:tc>
      </w:tr>
      <w:tr>
        <w:tc>
          <w:tcPr>
            <w:tcW w:type="dxa" w:w="3360"/>
          </w:tcPr>
          <w:p>
            <w:r>
              <w:t>Existing benefit-plan commitment</w:t>
            </w:r>
          </w:p>
        </w:tc>
        <w:tc>
          <w:tcPr>
            <w:tcW w:type="dxa" w:w="3360"/>
          </w:tcPr>
          <w:p>
            <w:r>
              <w:t>$3,300,000</w:t>
            </w:r>
          </w:p>
        </w:tc>
        <w:tc>
          <w:tcPr>
            <w:tcW w:type="dxa" w:w="3360"/>
          </w:tcPr>
          <w:p>
            <w:r>
              <w:t>Exhibit C — Cedar Pension Trust</w:t>
            </w:r>
          </w:p>
        </w:tc>
      </w:tr>
      <w:tr>
        <w:tc>
          <w:tcPr>
            <w:tcW w:type="dxa" w:w="3360"/>
          </w:tcPr>
          <w:p>
            <w:r>
              <w:t>Post-subscription Class I denominator</w:t>
            </w:r>
          </w:p>
        </w:tc>
        <w:tc>
          <w:tcPr>
            <w:tcW w:type="dxa" w:w="3360"/>
          </w:tcPr>
          <w:p>
            <w:r>
              <w:t>$38,650,000</w:t>
            </w:r>
          </w:p>
        </w:tc>
        <w:tc>
          <w:tcPr>
            <w:tcW w:type="dxa" w:w="3360"/>
          </w:tcPr>
          <w:p>
            <w:r>
              <w:t>$31,000,000 current Class I + subscription; Exhibits B / C</w:t>
            </w:r>
          </w:p>
        </w:tc>
      </w:tr>
      <w:tr>
        <w:tc>
          <w:tcPr>
            <w:tcW w:type="dxa" w:w="3360"/>
          </w:tcPr>
          <w:p>
            <w:r>
              <w:t>Benefit-plan ownership</w:t>
            </w:r>
          </w:p>
        </w:tc>
        <w:tc>
          <w:tcPr>
            <w:tcW w:type="dxa" w:w="3360"/>
          </w:tcPr>
          <w:p>
            <w:r>
              <w:t>28.33%</w:t>
            </w:r>
          </w:p>
        </w:tc>
        <w:tc>
          <w:tcPr>
            <w:tcW w:type="dxa" w:w="3360"/>
          </w:tcPr>
          <w:p>
            <w:r>
              <w:t>($3,300,000 + $7,650,000) ÷ $38,650,000; workbook</w:t>
            </w:r>
          </w:p>
        </w:tc>
      </w:tr>
      <w:tr>
        <w:tc>
          <w:tcPr>
            <w:tcW w:type="dxa" w:w="3360"/>
          </w:tcPr>
          <w:p>
            <w:r>
              <w:t>Completed redemption amount</w:t>
            </w:r>
          </w:p>
        </w:tc>
        <w:tc>
          <w:tcPr>
            <w:tcW w:type="dxa" w:w="3360"/>
          </w:tcPr>
          <w:p>
            <w:r>
              <w:t>$2,500,000</w:t>
            </w:r>
          </w:p>
        </w:tc>
        <w:tc>
          <w:tcPr>
            <w:tcW w:type="dxa" w:w="3360"/>
          </w:tcPr>
          <w:p>
            <w:r>
              <w:t>Exhibit D; outcome status = Completed</w:t>
            </w:r>
          </w:p>
        </w:tc>
      </w:tr>
      <w:tr>
        <w:tc>
          <w:tcPr>
            <w:tcW w:type="dxa" w:w="3360"/>
          </w:tcPr>
          <w:p>
            <w:r>
              <w:t>All requested amount</w:t>
            </w:r>
          </w:p>
        </w:tc>
        <w:tc>
          <w:tcPr>
            <w:tcW w:type="dxa" w:w="3360"/>
          </w:tcPr>
          <w:p>
            <w:r>
              <w:t>$4,400,000</w:t>
            </w:r>
          </w:p>
        </w:tc>
        <w:tc>
          <w:tcPr>
            <w:tcW w:type="dxa" w:w="3360"/>
          </w:tcPr>
          <w:p>
            <w:r>
              <w:t>Exhibit D; all six records</w:t>
            </w:r>
          </w:p>
        </w:tc>
      </w:tr>
      <w:tr>
        <w:tc>
          <w:tcPr>
            <w:tcW w:type="dxa" w:w="3360"/>
          </w:tcPr>
          <w:p>
            <w:r>
              <w:t>Headline completion rate</w:t>
            </w:r>
          </w:p>
        </w:tc>
        <w:tc>
          <w:tcPr>
            <w:tcW w:type="dxa" w:w="3360"/>
          </w:tcPr>
          <w:p>
            <w:r>
              <w:t>56.8%</w:t>
            </w:r>
          </w:p>
        </w:tc>
        <w:tc>
          <w:tcPr>
            <w:tcW w:type="dxa" w:w="3360"/>
          </w:tcPr>
          <w:p>
            <w:r>
              <w:t>Completed amount ÷ all requested amount; includes same-day edge</w:t>
            </w:r>
          </w:p>
        </w:tc>
      </w:tr>
    </w:tbl>
    <w:p>
      <w:pPr>
        <w:pStyle w:val="Heading1"/>
      </w:pPr>
      <w:r>
        <w:t>Edge case, assumptions and limitations</w:t>
      </w:r>
    </w:p>
    <w:p>
      <w:r>
        <w:t>The same-day 5 April 2025 request/completion is not omitted. It is included in the headline completed amount and separately identified because it has zero elapsed processing time. Excluding it reduces the completed-amount rate to 52.5%; neither treatment changes the observed presence of two pending requests. We assume the supplied immediately-after-acquisition test uses the active Class I schedule, the proposed subscription, and all identified benefit-plan investor interests; we make no external legal, valuation, or liquidity assumptions. The bundle does not provide a forecast of future subscriptions, a governing fund-level liquidity commitment, or current law beyond Exhibit A; those remain unresolved risks requiring counsel and fund-manager confirmation before any reconsideration.</w:t>
      </w:r>
    </w:p>
    <w:p>
      <w:pPr>
        <w:pStyle w:val="Heading1"/>
      </w:pPr>
      <w:r>
        <w:t>Conflict disclosure and controls</w:t>
      </w:r>
    </w:p>
    <w:p>
      <w:r>
        <w:t>Wraysbury Fiduciary Advisors’ affiliate, Wraysbury Placement Services Ltd., receives a placement fee equal to 1.00% of an accepted Northmere subscription, payable by the fund sponsor (Exhibit E). The fee creates an economic incentive and a reasonable perception risk that advice could favour commitment; it is not immaterial simply because this memo recommends no commitment. Trustees should: (1) record the disclosure and acknowledge it in minutes; (2) obtain an independent review of the plan-assets and liquidity analysis; (3) require disinterested trustees to approve any decision; (4) consider recusal of conflicted personnel from the vote or recommendation; and (5) retain the fee correspondence and approval record. These controls are options listed in Exhibit E.</w:t>
      </w:r>
    </w:p>
    <w:p>
      <w:pPr>
        <w:pStyle w:val="Heading1"/>
      </w:pPr>
      <w:r>
        <w:t>Action requested</w:t>
      </w:r>
    </w:p>
    <w:p>
      <w:r>
        <w:t>Vote to not commit at this time. If trustees revisit the proposal, require an updated Class I schedule, confirmation of the DOL threshold application from counsel, and documented liquidity terms before approval. This memo is bounded by the supplied evidence bundle and is not external legal advice.</w:t>
      </w:r>
    </w:p>
    <w:p>
      <w:pPr>
        <w:jc w:val="right"/>
      </w:pPr>
      <w:r>
        <w:rPr>
          <w:i/>
        </w:rPr>
        <w:t>Prepared by Marisol Oduya | Quarryfield Field Services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