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F6D75"/>
          <w:sz w:val="16"/>
        </w:rPr>
        <w:t>CREDENTIALING &amp; NETWORK MANAGEMENT REVIEW</w:t>
      </w:r>
    </w:p>
    <w:p>
      <w:pPr>
        <w:pStyle w:val="Title"/>
        <w:pBdr>
          <w:bottom w:val="single" w:sz="8" w:color="17365D"/>
        </w:pBdr>
      </w:pPr>
      <w:r>
        <w:t>Closed-Panel Participation &amp; Exception-Review Request</w:t>
      </w:r>
    </w:p>
    <w:p>
      <w:r>
        <w:rPr>
          <w:b/>
        </w:rPr>
        <w:t>Marrowfield ENT &amp; Allergy  |  Northreach Health Plan  |  Case CASE-CR-041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Meera Underwood, Contracting Review Lead; Anselm Adeyemi, Network Management Director</w:t>
            </w:r>
          </w:p>
        </w:tc>
      </w:tr>
      <w:tr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Mikkel Kalinowski, Medical Secretary — Credentialing</w:t>
            </w:r>
          </w:p>
        </w:tc>
      </w:tr>
      <w:tr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Participation request during current closed-panel contracting cycle</w:t>
            </w:r>
          </w:p>
        </w:tc>
      </w:tr>
      <w:tr>
        <w:tc>
          <w:tcPr>
            <w:tcW w:type="dxa" w:w="5184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Review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4:00 p.m. on the next business day</w:t>
            </w:r>
          </w:p>
        </w:tc>
      </w:tr>
    </w:tbl>
    <w:p/>
    <w:p>
      <w:r>
        <w:rPr>
          <w:b/>
        </w:rPr>
        <w:t xml:space="preserve">Requested action. </w:t>
      </w:r>
      <w:r>
        <w:t>Please route this as a participation and exception-review submission for Northreach Health Plan’s current contracting cycle. The requested decision is a network-management review of the documented local evidence and whether an exception review is warranted; this submission does not itself authorize enrollment or contracting.</w:t>
      </w:r>
    </w:p>
    <w:p>
      <w:r>
        <w:rPr>
          <w:b/>
        </w:rPr>
        <w:t xml:space="preserve">Known limitations. </w:t>
      </w:r>
      <w:r>
        <w:t>Marrowfield has one location and no weekend hours (CASE-CR-041). We acknowledge those limitations at the outset. Marrowfield has remained outside the Northreach network for three years because the panel was closed (CASE-CR-041).</w:t>
      </w:r>
    </w:p>
    <w:p>
      <w:pPr>
        <w:pStyle w:val="Heading1"/>
      </w:pPr>
      <w:r>
        <w:t>Why the adequacy conclusion merits review</w:t>
      </w:r>
    </w:p>
    <w:p>
      <w:r>
        <w:rPr>
          <w:b/>
        </w:rPr>
        <w:t xml:space="preserve">Northreach’s stated position is that network adequacy is met under current standards </w:t>
      </w:r>
      <w:r>
        <w:t>(NHP-NM-2026-018). That conclusion should be considered alongside the plan’s own drive-time review and the cleaned desk-call record, not displaced by either one alone.</w:t>
      </w:r>
    </w:p>
    <w:p>
      <w:r>
        <w:rPr>
          <w:b/>
        </w:rPr>
        <w:t xml:space="preserve">For Cobblemoor Provisions, </w:t>
      </w:r>
      <w:r>
        <w:t>the plan reports 31.4 minutes of added one-way drive time from the member area to the nearest in-network ENT compared with Marrowfield (NHP-DT-2026-04A). For Hartsmere Services, the same plan measure is 18.7 minutes (NHP-DT-2026-04B). Cobblemoor Provisions therefore has the greater documented drive-time gap. The measure is expressed in minutes and is not a claim about appointment availability, emergency coverage, or future capacity.</w:t>
      </w:r>
    </w:p>
    <w:p>
      <w:r>
        <w:rPr>
          <w:b/>
        </w:rPr>
        <w:t xml:space="preserve">During 05/03/2026–10/05/2026, </w:t>
      </w:r>
      <w:r>
        <w:t>the cleaned log contains 7 included Northreach member records of being turned away at the Marrowfield desk because of out-of-network status: 3 in Cobblemoor Provisions and 4 in Hartsmere Services. These are documented member-access experiences, not a categorical finding that Northreach’s network is inadequate. Taken with the plan’s drive-time measure, they provide a bounded basis for exception review despite Marrowfield’s one-site, weekday-only footprint.</w:t>
      </w:r>
    </w:p>
    <w:p>
      <w:pPr>
        <w:pStyle w:val="Heading1"/>
      </w:pPr>
      <w:r>
        <w:t>Request for review</w:t>
      </w:r>
    </w:p>
    <w:p>
      <w:r>
        <w:t>Please review the participation request and the attached supporting one-pager in the current contracting cycle, including the plan’s adequacy conclusion, the two service-jurisdiction comparisons, and the record-level evidence. If the applicable exception process supports further consideration, please identify the next contracting-review step. We do not request a guaranteed outcome and make no representation of guaranteed enrollment, emergency coverage, or capacity beyond the source record.</w:t>
      </w:r>
    </w:p>
    <w:p>
      <w:pPr>
        <w:pStyle w:val="Heading1"/>
      </w:pPr>
      <w:r>
        <w:t>Source and method note</w:t>
      </w:r>
    </w:p>
    <w:p>
      <w:r>
        <w:t>Evidence is drawn only from CASE-CR-041; NHP-NM-2026-018 and NHP-NM-2026-021; NHP-DT-2026-04A/B; and CL-1001–CL-1014. The evidence period is 05/03/2026–10/05/2026. Overlapping call-log rows were de-duplicated using the source-supported Cust ID + Call ID key; the companion workbook retains every linked source record ID. Row-level notes were treated as controlling where they qualify a main field, including jurisdiction, disposition, inclusion, or status. The residual source formula error in Drive Time!H7 was ignored rather than propagated because it is unrelated to the displayed evidence.</w:t>
      </w:r>
    </w:p>
    <w:p>
      <w:r>
        <w:rPr>
          <w:b/>
        </w:rPr>
        <w:t xml:space="preserve">Attachment: </w:t>
      </w:r>
      <w:r>
        <w:t>Marrowfield / Northreach Supporting One-Pager</w:t>
      </w:r>
    </w:p>
    <w:p>
      <w:r>
        <w:br w:type="page"/>
      </w:r>
    </w:p>
    <w:p>
      <w:pPr>
        <w:pStyle w:val="Title"/>
        <w:pBdr>
          <w:bottom w:val="single" w:sz="8" w:color="17365D"/>
        </w:pBdr>
      </w:pPr>
      <w:r>
        <w:t>Supporting One-Pager</w:t>
      </w:r>
    </w:p>
    <w:p>
      <w:r>
        <w:t>Closed-panel participation &amp; exception-review evidence • Marrowfield ENT &amp; Allergy / Northreach Health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Distinct keys analyzed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Included turned-away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Cobblemoor Provisions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Hartsmere Services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17365D"/>
                <w:sz w:val="28"/>
              </w:rPr>
              <w:t>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17365D"/>
                <w:sz w:val="28"/>
              </w:rPr>
              <w:t>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17365D"/>
                <w:sz w:val="28"/>
              </w:rPr>
              <w:t>3 records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17365D"/>
                <w:sz w:val="28"/>
              </w:rPr>
              <w:t>4 records</w:t>
            </w:r>
          </w:p>
        </w:tc>
      </w:tr>
    </w:tbl>
    <w:p>
      <w:pPr>
        <w:pStyle w:val="Heading1"/>
      </w:pPr>
      <w:r>
        <w:t>Jurisdiction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45B8F"/>
          </w:tcPr>
          <w:p>
            <w:r/>
            <w:r>
              <w:rPr>
                <w:b/>
                <w:color w:val="FFFFFF"/>
                <w:sz w:val="18"/>
              </w:rPr>
              <w:t>Service jurisdiction</w:t>
            </w:r>
          </w:p>
        </w:tc>
        <w:tc>
          <w:tcPr>
            <w:tcW w:type="dxa" w:w="2592"/>
            <w:vAlign w:val="center"/>
            <w:shd w:fill="245B8F"/>
          </w:tcPr>
          <w:p>
            <w:r/>
            <w:r>
              <w:rPr>
                <w:b/>
                <w:color w:val="FFFFFF"/>
                <w:sz w:val="18"/>
              </w:rPr>
              <w:t>Plan drive-time gap</w:t>
            </w:r>
          </w:p>
        </w:tc>
        <w:tc>
          <w:tcPr>
            <w:tcW w:type="dxa" w:w="2592"/>
            <w:vAlign w:val="center"/>
            <w:shd w:fill="245B8F"/>
          </w:tcPr>
          <w:p>
            <w:r/>
            <w:r>
              <w:rPr>
                <w:b/>
                <w:color w:val="FFFFFF"/>
                <w:sz w:val="18"/>
              </w:rPr>
              <w:t>Included records</w:t>
            </w:r>
          </w:p>
        </w:tc>
        <w:tc>
          <w:tcPr>
            <w:tcW w:type="dxa" w:w="2592"/>
            <w:vAlign w:val="center"/>
            <w:shd w:fill="245B8F"/>
          </w:tcPr>
          <w:p>
            <w:r/>
            <w:r>
              <w:rPr>
                <w:b/>
                <w:color w:val="FFFFFF"/>
                <w:sz w:val="18"/>
              </w:rPr>
              <w:t>Source ID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Cobblemoor Provisions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31.4 minutes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NHP-DT-2026-04A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Hartsmere Services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18.7 minutes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NHP-DT-2026-04B</w:t>
            </w:r>
          </w:p>
        </w:tc>
      </w:tr>
    </w:tbl>
    <w:p>
      <w:pPr>
        <w:pStyle w:val="Heading1"/>
      </w:pPr>
      <w:r>
        <w:t>What the record establishes</w:t>
      </w:r>
    </w:p>
    <w:p>
      <w:r>
        <w:t>The plan’s measure documents a greater added one-way drive-time gap in Cobblemoor Provisions. The cleaned call log documents 7 relevant turned-away contacts across both named jurisdictions during the stated evidence period. These facts support a focused exception review of the closed-panel participation request.</w:t>
      </w:r>
    </w:p>
    <w:p>
      <w:pPr>
        <w:pStyle w:val="Heading1"/>
      </w:pPr>
      <w:r>
        <w:t>What the record does not establish</w:t>
      </w:r>
    </w:p>
    <w:p>
      <w:r>
        <w:t>It does not establish categorical inadequacy, a guaranteed contracting outcome, guaranteed enrollment, emergency coverage, appointment availability, or capacity. Marrowfield’s one location and lack of weekend hours remain relevant qualifications.</w:t>
      </w:r>
    </w:p>
    <w:p>
      <w:pPr>
        <w:pStyle w:val="Heading1"/>
      </w:pPr>
      <w:r>
        <w:t>Traceability and handling</w:t>
      </w:r>
    </w:p>
    <w:p>
      <w:r>
        <w:t>Call-log source range: CL-1001–CL-1014. Included keys are traceable in the companion workbook, including consolidated overlaps. Notes controlled qualifying fields; exclusions and the unresolved record are retained for audit. The unrelated residual source formula error at Drive Time!H7 was not used.</w:t>
      </w:r>
    </w:p>
    <w:p>
      <w:r>
        <w:rPr>
          <w:i/>
        </w:rPr>
        <w:t>Prepared for Meera Underwood and Anselm Adeyemi • Review by 4:00 p.m. next business day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8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