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color w:val="194158"/>
          <w:sz w:val="50"/>
        </w:rPr>
        <w:t>Harkness Elementary</w:t>
      </w:r>
    </w:p>
    <w:p>
      <w:pPr>
        <w:spacing w:after="100"/>
      </w:pPr>
      <w:r>
        <w:rPr>
          <w:b/>
          <w:color w:val="505A5F"/>
          <w:sz w:val="22"/>
        </w:rPr>
        <w:t>Brokerage engagement proposal  |  Decision brief for Northgale Council trustees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1F4"/>
            <w:vAlign w:val="center"/>
          </w:tcPr>
          <w:p>
            <w:pPr>
              <w:spacing w:after="0"/>
            </w:pPr>
            <w:r/>
            <w:r>
              <w:rPr>
                <w:b/>
                <w:color w:val="194158"/>
                <w:sz w:val="16"/>
              </w:rPr>
              <w:t>DECISION REQUEST  Approve a 60-day, lean exclusive listing with Netherfield Practice before the 14 October board vote, subject to the terms on page 4.</w:t>
            </w:r>
          </w:p>
        </w:tc>
      </w:tr>
    </w:tbl>
    <w:p>
      <w:pPr>
        <w:pStyle w:val="Heading1"/>
      </w:pPr>
      <w:r>
        <w:t>1. The decision in plain language</w:t>
      </w:r>
    </w:p>
    <w:p>
      <w:pPr>
        <w:spacing w:line="245" w:lineRule="auto"/>
      </w:pPr>
      <w:r>
        <w:t>Northgale Council is considering disposal of the closed Harkness Elementary building. Board president Solveig Ilechukwu and trustees will decide on 14 October. This packet is designed to stand alone: it explains what a broker adds, what it costs, and what remains the Council’s responsibility.</w:t>
      </w:r>
    </w:p>
    <w:p>
      <w:pPr>
        <w:spacing w:line="245" w:lineRule="auto"/>
      </w:pPr>
      <w:r>
        <w:t>Facilities Director Tomas Lockhart has told several trustees that an in-house sealed bid could avoid paying a broker. That is a legitimate option: it can have low direct cost, a familiar public process, and administrative control. It is an informal expectation, not a binding engagement or board decision. We recommend acknowledging it in the staff report and showing the fee below so trustees can compare like with like.</w:t>
      </w:r>
    </w:p>
    <w:p>
      <w:pPr>
        <w:pStyle w:val="Heading1"/>
      </w:pPr>
      <w:r>
        <w:t>2. Two workable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816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it does well</w:t>
            </w:r>
          </w:p>
        </w:tc>
        <w:tc>
          <w:tcPr>
            <w:tcW w:type="dxa" w:w="3816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Where it is limited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In-house sealed bid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Council controls timetable and bid rules; no success fee in the illustration; straightforward audit trail.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Reach depends on Council’s list and staff time. Buyers may not understand school conversion questions; fewer qualified offers may mean less competition. Council staff carry inquiry, qualification, and negotiation load.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Lean brokered process (recommended)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Netherfield builds a verified fact sheet, targets distinct buyer groups, logs inquiries, screens capacity, runs a consistent offer process, and coordinates diligence. Wider reach and cleaner comparison can improve price discovery or certainty—but neither is guaranteed.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Success fee reduces proceeds; Council must provide records and approvals. A 60-day sprint cannot replicate a long campaign or establish zoning, condition, or value.</w:t>
            </w:r>
          </w:p>
        </w:tc>
      </w:tr>
    </w:tbl>
    <w:p>
      <w:pPr>
        <w:pStyle w:val="Heading1"/>
      </w:pPr>
      <w:r>
        <w:t>3. Who must hear about it—and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Buyer group</w:t>
            </w:r>
          </w:p>
        </w:tc>
        <w:tc>
          <w:tcPr>
            <w:tcW w:type="dxa" w:w="288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Likely motivation</w:t>
            </w:r>
          </w:p>
        </w:tc>
        <w:tc>
          <w:tcPr>
            <w:tcW w:type="dxa" w:w="4608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Information and outreach needed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Charter-school operators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Reuse classrooms, gym, and site for an education mission; may value occupancy timing.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Enrollment/program fit, room count, accessibility, parking/drop-off, utility capacity, and education-use approvals. Target known regional operators and education advisors with a concise fact sheet.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Congregations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Assembly, community programs, and worship space; may prioritize parking and flexible gathering rooms.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Assembly/use questions, life-safety and accessibility diligence, neighbors/noise, weekend access, and financing timeline. Use faith-community networks and a site walk.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Senior-housing sponsors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Adaptive reuse or redevelopment; may value location and building shell but need a longer approval path.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Condition, environmental, title, utilities, access, density/use pathway, and capital schedule. Target sponsors directly and require a credible diligence/approval plan.</w:t>
            </w:r>
          </w:p>
        </w:tc>
      </w:tr>
    </w:tbl>
    <w:p>
      <w:pPr>
        <w:spacing w:line="245" w:lineRule="auto"/>
      </w:pPr>
      <w:r>
        <w:t>A sealed-bid notice can reach any of these groups, but it does not by itself educate them or reveal which questions could disqualify a bid. Targeted contact is the incremental work a broker is being paid to perform.</w:t>
      </w:r>
    </w:p>
    <w:p>
      <w:pPr>
        <w:pStyle w:val="Heading1"/>
      </w:pPr>
      <w:r>
        <w:t>4. Timing and market lens (illustrative, not local market facts)</w:t>
      </w:r>
    </w:p>
    <w:p>
      <w:pPr>
        <w:spacing w:line="245" w:lineRule="auto"/>
      </w:pPr>
      <w:r>
        <w:t>The comparison below is a planning model only; Northgale has supplied no verified market statistics, valuation, buyer count, or commitment. It shows why the compressed pre-vote period changes the process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432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Operating context</w:t>
            </w:r>
          </w:p>
        </w:tc>
        <w:tc>
          <w:tcPr>
            <w:tcW w:type="dxa" w:w="288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Earlier planning window — 1 May–30 June 2026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More time for a broad campaign, multiple tours, and extended diligence. Illustrative target: 10 qualified inquiries and 3 offers.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 could support more exposure, but the Council did not authorize a campaign in that window; those targets are not results.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pre-vote window — 24 Aug–14 Oct 2026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Seven weeks to assemble records, reach buyers, and give trustees a recommendation. Staff time is limited; board packet has one deadline.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Prioritize a verified fact sheet, three buyer-group lists, one tour, and a documented offer deadline. A lean brokered sprint preserves essential reach while accepting fewer tours and less price discovery than a full campaign.</w:t>
            </w:r>
          </w:p>
        </w:tc>
      </w:tr>
    </w:tbl>
    <w:p>
      <w:pPr>
        <w:pStyle w:val="Heading1"/>
      </w:pPr>
      <w:r>
        <w:t>5. Financial illustration and downside</w:t>
      </w:r>
    </w:p>
    <w:p>
      <w:pPr>
        <w:spacing w:line="245" w:lineRule="auto"/>
      </w:pPr>
      <w:r>
        <w:t>Illustrative assumptions for comparison—not a valuation or forecast: gross purchase price $1,200,000; success fee 5.0% of gross purchase price; reimbursable marketing capped at $2,000; other seller closing costs $8,000. No taxes, debt payoff, or remediation are modeled.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024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180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Gross price</w:t>
            </w:r>
          </w:p>
        </w:tc>
        <w:tc>
          <w:tcPr>
            <w:tcW w:type="dxa" w:w="1512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Fee (5%)</w:t>
            </w:r>
          </w:p>
        </w:tc>
        <w:tc>
          <w:tcPr>
            <w:tcW w:type="dxa" w:w="144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Other costs</w:t>
            </w:r>
          </w:p>
        </w:tc>
        <w:tc>
          <w:tcPr>
            <w:tcW w:type="dxa" w:w="2088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Illustrated net proceeds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Brokered base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$1,200,000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$60,000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$10,000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$1,130,000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Sealed-bid at same price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$1,200,000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$8,000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$1,192,000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Brokered downside: price 10% lower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$1,080,000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$54,000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$10,000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$1,016,000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Brokered upside: price 10% higher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$1,320,000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$66,000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$10,000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$1,244,000</w:t>
            </w:r>
          </w:p>
        </w:tc>
      </w:tr>
    </w:tbl>
    <w:p>
      <w:pPr>
        <w:spacing w:line="245" w:lineRule="auto"/>
      </w:pPr>
      <w:r>
        <w:t>Reconciliation: net = gross − fee − other costs. At the same $1,200,000 price, the brokered route costs $62,000 more than sealed bid. The brokered base therefore needs incremental price, certainty, or risk reduction worth more than $62,000 to be financially preferable; that outcome is possible, not promised. If price is $1,080,000, net is $1,016,000 and the fee does not disappear.</w:t>
      </w:r>
    </w:p>
    <w:p>
      <w:pPr>
        <w:pStyle w:val="Heading1"/>
      </w:pPr>
      <w:r>
        <w:t>6. Proposed engagement: accountable and lean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8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Netherfield Practice will</w:t>
            </w:r>
          </w:p>
        </w:tc>
        <w:tc>
          <w:tcPr>
            <w:tcW w:type="dxa" w:w="4680"/>
            <w:vAlign w:val="center"/>
            <w:shd w:fill="194158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Council / designated staff will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 a one-page fact sheet from Council records; identify unknowns. Build and prioritize the three buyer lists; make direct outreach and one coordinated tour. Log every inquiry and material question. Receive offers through a single mailbox, acknowledge consistently, and deliver a comparison memo. Coordinate buyer requests, timeline, and closing handoffs.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 one staff lead by 28 August; provide available plans, title/ownership records, known condition/environmental reports, utility/access information, and public-record constraints by 2 September. Approve fact sheet and outreach by 4 September; attend tour; answer factual questions; obtain all required public approvals and select the preferred offer.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conflicts before contacting a prospect; keep a dated activity and offer log available to Council.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 records and offers as subject to applicable public-record and procurement rules; direct legal, zoning, environmental, and tax questions to qualified advisers.</w:t>
            </w:r>
          </w:p>
        </w:tc>
      </w:tr>
    </w:tbl>
    <w:p>
      <w:pPr>
        <w:spacing w:line="245" w:lineRule="auto"/>
      </w:pPr>
      <w:r>
        <w:t>Milestones: kickoff 28 August; fact sheet approved 4 September; targeted outreach 4–18 September; tour and Q&amp;A 22 September; offers requested by 2 October; comparison memo by 7 October; trustee vote 14 October. The 60-day term runs 28 August–26 October and ends if Council does not authorize a transaction, unless extended in writing.</w:t>
      </w:r>
    </w:p>
    <w:p>
      <w:pPr>
        <w:spacing w:line="245" w:lineRule="auto"/>
      </w:pPr>
      <w:r>
        <w:t>Compensation: 5.0% of the gross purchase price payable only at closing, plus pre-approved third-party marketing expenses capped at $2,000. No fee is due if no closing occurs. Netherfield is not promising a buyer, price, zoning entitlement, environmental condition, title quality, financing, approval, or closing date. The Council remains responsible for disclosures, legal/procurement compliance, title, environmental and building diligence, zoning/use determinations, access, and all public approvals. Buyer interest or a proposed use is not evidence of entitlement, approval, condition, or suitability. Excluded: appraisal, engineering, environmental remediation, legal opinions, tax advice, and construction/development management.</w:t>
      </w:r>
    </w:p>
    <w:p>
      <w:pPr>
        <w:pStyle w:val="Heading1"/>
      </w:pPr>
      <w:r>
        <w:t>7. Fair evaluation and recommendation</w:t>
      </w:r>
    </w:p>
    <w:p>
      <w:pPr>
        <w:spacing w:line="245" w:lineRule="auto"/>
      </w:pPr>
      <w:r>
        <w:t>Staff should compare offers using a documented matrix: (1) net proceeds after stated costs; (2) price and deposit; (3) funding and diligence credibility; (4) closing timing and certainty; (5) public-owner risk allocation; and (6) mission/use fit, without presuming any use is approved. Material questions and answers should be shared consistently, and each offer should be time-stamped in the log.</w:t>
      </w:r>
    </w:p>
    <w:p>
      <w:pPr>
        <w:spacing w:line="245" w:lineRule="auto"/>
      </w:pPr>
      <w:r>
        <w:t>RECOMMENDATION — Approve the 60-day lean brokered process with Netherfield Practice at the disclosed 5.0% success fee and $2,000 expense cap. It is the single option that adds targeted reach, qualification, fair comparison, and transaction coordination within the seven-week constraint. The sealed bid remains a respectable low-cost fallback if trustees decide that avoiding the modeled $62,000 same-price cost outweighs the uncertain value of broader exposure and managed execution; that tradeoff should be explicit in the vote record.</w:t>
      </w:r>
    </w:p>
    <w:p>
      <w:pPr>
        <w:spacing w:line="245" w:lineRule="auto"/>
      </w:pPr>
      <w:r>
        <w:rPr>
          <w:b/>
        </w:rPr>
        <w:t>Prepared by</w:t>
      </w:r>
      <w:r>
        <w:t xml:space="preserve"> Amara Bergqvist, Commercial Real Estate Sales Agent, Netherfield Practice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Prepared 24 August 2026  •  Confidential working proposal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9"/>
        <w:sz w:val="14"/>
      </w:rPr>
      <w:t>NETHERFIELD PRACTICE  |  BOARD PACKET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1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15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