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LAST WILL AND TESTAMENT</w:t>
        <w:br/>
        <w:t>OF HALVARD NUNES</w:t>
      </w:r>
    </w:p>
    <w:p>
      <w:pPr>
        <w:jc w:val="center"/>
      </w:pPr>
      <w:r>
        <w:rPr>
          <w:b/>
          <w:sz w:val="18"/>
        </w:rPr>
        <w:t>DRAFT — COMPLETE ALL BRACKETED FIELDS BEFORE EXECUTION</w:t>
      </w:r>
    </w:p>
    <w:p>
      <w:r>
        <w:t>I, Halvard Nunes ("I" or "Testator"), a resident of Minnesota, declare this instrument to be my Last Will and Testament. I revoke all prior wills and codicils that I have made, except that this revocation does not by itself change beneficiary designations, joint ownership arrangements, trust transfers, transfer-on-death registrations, or other nonprobate transfers.</w:t>
      </w:r>
    </w:p>
    <w:p>
      <w:pPr>
        <w:pStyle w:val="Heading1"/>
      </w:pPr>
      <w:r>
        <w:t>ARTICLE I — FAMILY, PURPOSE, AND INTERPRETIVE LIMITS</w:t>
      </w:r>
    </w:p>
    <w:p>
      <w:pPr>
        <w:pStyle w:val="Heading2"/>
      </w:pPr>
      <w:r>
        <w:rPr>
          <w:b/>
        </w:rPr>
        <w:t>1.1 Family references.</w:t>
      </w:r>
      <w:r>
        <w:t xml:space="preserve">  I am married to [SURVIVING SPOUSE — FULL LEGAL NAME]. I have adult children from a prior marriage, identified for this Will as [ADULT CHILDREN — FULL NAMES]. No reference to a relationship in this Will establishes a fact not otherwise established by law.</w:t>
      </w:r>
    </w:p>
    <w:p>
      <w:pPr>
        <w:pStyle w:val="Heading2"/>
      </w:pPr>
      <w:r>
        <w:rPr>
          <w:b/>
        </w:rPr>
        <w:t>1.2 Property subject to this Will.</w:t>
      </w:r>
      <w:r>
        <w:t xml:space="preserve">  This Will disposes only of property I own at death that properly passes through my probate estate. It does not alter property that passes by title, beneficiary designation, joint ownership, trust, marital-property characterization, or other nonprobate arrangement unless law and the applicable instrument provide otherwise.</w:t>
      </w:r>
    </w:p>
    <w:p>
      <w:pPr>
        <w:pStyle w:val="Heading2"/>
      </w:pPr>
      <w:r>
        <w:rPr>
          <w:b/>
        </w:rPr>
        <w:t>1.3 Intent.</w:t>
      </w:r>
      <w:r>
        <w:t xml:space="preserve">  My plan is to make a single Minnesota will that states my testamentary directions, including a specific devise of my Wisconsin cabin, while recognizing that title, ownership classification, and Wisconsin situs procedures may limit or affect administration. This Will is not intended to guarantee admission to probate in either state or to eliminate any Wisconsin ancillary or other situs-state proceeding.</w:t>
      </w:r>
    </w:p>
    <w:p>
      <w:pPr>
        <w:pStyle w:val="Heading1"/>
      </w:pPr>
      <w:r>
        <w:t>ARTICLE II — GOVERNING LAW AND WISCONSIN CABIN</w:t>
      </w:r>
    </w:p>
    <w:p>
      <w:pPr>
        <w:pStyle w:val="Heading2"/>
      </w:pPr>
      <w:r>
        <w:rPr>
          <w:b/>
        </w:rPr>
        <w:t>2.1 Governing-law choice.</w:t>
      </w:r>
      <w:r>
        <w:t xml:space="preserve">  I intend Minnesota law to govern the interpretation, validity, and administration of this Will to the extent Minnesota law properly applies. This choice is not intended to displace mandatory law governing Wisconsin real property, title, marital-property classification, creditor rights, probate procedure, or other situs-specific matters.</w:t>
      </w:r>
    </w:p>
    <w:p>
      <w:pPr>
        <w:pStyle w:val="Heading2"/>
      </w:pPr>
      <w:r>
        <w:rPr>
          <w:b/>
        </w:rPr>
        <w:t>2.2 Specific devise of Wisconsin cabin.</w:t>
      </w:r>
      <w:r>
        <w:t xml:space="preserve">  If I own an interest at my death in the lake-cabin real property located in Wisconsin, commonly known as [WISCONSIN CABIN STREET ADDRESS OR PARCEL IDENTIFIER], legally described as [INSERT CURRENT DEED LEGAL DESCRIPTION], I give only my probate interest in that property, together with its appurtenances, to [CABIN DEVISEE — FULL LEGAL NAME], if that devisee survives me by thirty (30) days. This is a specific devise; the devisee takes subject to mortgages, liens, recorded interests, taxes, expenses, and any ownership or marital-property characterization applicable to my interest.</w:t>
      </w:r>
    </w:p>
    <w:p>
      <w:pPr>
        <w:pStyle w:val="Heading2"/>
      </w:pPr>
      <w:r>
        <w:rPr>
          <w:b/>
        </w:rPr>
        <w:t>2.3 Failure or change of ownership.</w:t>
      </w:r>
      <w:r>
        <w:t xml:space="preserve">  If I do not own that interest at my death, or if it has been sold, transferred, destroyed, or otherwise disposed of before my death, this specific devise fails and neither the proceeds nor any substitute property is required to pass under this section unless I state otherwise in a later executed instrument. If the named devisee does not survive me by thirty (30) days, the property passes under Article V. Administration or transfer of this Wisconsin real property may require title review and a Wisconsin ancillary or other situs-state proceeding; this Will does not promise otherwise.</w:t>
      </w:r>
    </w:p>
    <w:p>
      <w:pPr>
        <w:pStyle w:val="Heading1"/>
      </w:pPr>
      <w:r>
        <w:t>ARTICLE III — ADMINISTRATION</w:t>
      </w:r>
    </w:p>
    <w:p>
      <w:pPr>
        <w:pStyle w:val="Heading2"/>
      </w:pPr>
      <w:r>
        <w:rPr>
          <w:b/>
        </w:rPr>
        <w:t>3.1 Personal Representative.</w:t>
      </w:r>
      <w:r>
        <w:t xml:space="preserve">  I nominate [PRIMARY PERSONAL REPRESENTATIVE — FULL NAME] as Personal Representative. If that person does not serve, I nominate [SUCCESSOR PERSONAL REPRESENTATIVE — FULL NAME]. If neither serves, a court of competent jurisdiction may appoint a qualified successor. No person is required to serve without consent.</w:t>
      </w:r>
    </w:p>
    <w:p>
      <w:pPr>
        <w:pStyle w:val="Heading2"/>
      </w:pPr>
      <w:r>
        <w:rPr>
          <w:b/>
        </w:rPr>
        <w:t>3.2 Powers and expenses.</w:t>
      </w:r>
      <w:r>
        <w:t xml:space="preserve">  My Personal Representative may collect estate assets; retain, sell, lease, insure, repair, or distribute them; resolve claims; employ appropriate professional assistance; and make distributions in cash or in kind, all subject to fiduciary duties and applicable law. My Personal Representative shall pay legally enforceable debts, administration expenses, and taxes from the residuary estate to the extent law requires or permits, without changing the express priority of a specific devise except as necessary to satisfy applicable obligations.</w:t>
      </w:r>
    </w:p>
    <w:p>
      <w:pPr>
        <w:pStyle w:val="Heading2"/>
      </w:pPr>
      <w:r>
        <w:rPr>
          <w:b/>
        </w:rPr>
        <w:t>3.3 Bond and compensation.</w:t>
      </w:r>
      <w:r>
        <w:t xml:space="preserve">  No bond is required to the extent law permits, unless a court orders otherwise. A serving fiduciary is entitled to reasonable compensation and reimbursement as allowed by law.</w:t>
      </w:r>
    </w:p>
    <w:p>
      <w:pPr>
        <w:pStyle w:val="Heading1"/>
      </w:pPr>
      <w:r>
        <w:t>ARTICLE IV — SURVIVING SPOUSE; STATUTORY RIGHTS</w:t>
      </w:r>
    </w:p>
    <w:p>
      <w:pPr>
        <w:pStyle w:val="Heading2"/>
      </w:pPr>
      <w:r>
        <w:rPr>
          <w:b/>
        </w:rPr>
        <w:t>4.1 Separate spouse disposition.</w:t>
      </w:r>
      <w:r>
        <w:t xml:space="preserve">  Subject to Article II and the provisions of applicable law, I give [DESCRIBE SPECIFIC GIFT OR PERCENTAGE FOR SURVIVING SPOUSE — FULL LEGAL NAME] to my surviving spouse, [SURVIVING SPOUSE — FULL LEGAL NAME], if my spouse survives me by thirty (30) days. If my spouse does not survive me by thirty (30) days, this gift lapses into the residue under Article V.</w:t>
      </w:r>
    </w:p>
    <w:p>
      <w:pPr>
        <w:pStyle w:val="Heading2"/>
      </w:pPr>
      <w:r>
        <w:rPr>
          <w:b/>
        </w:rPr>
        <w:t>4.2 Rights not waived.</w:t>
      </w:r>
      <w:r>
        <w:t xml:space="preserve">  This Article expresses testamentary intent only. It does not waive, settle, or determine any Minnesota elective-share right, homestead right, allowance, marital-property right, or comparable statutory right. Such rights, and the classification and ownership of property, may constrain the disposition stated here and require counsel’s fact-specific review before execution.</w:t>
      </w:r>
    </w:p>
    <w:p>
      <w:pPr>
        <w:pStyle w:val="Heading1"/>
      </w:pPr>
      <w:r>
        <w:t>ARTICLE V — RESIDUARY ESTATE AND FAMILY TRUST</w:t>
      </w:r>
    </w:p>
    <w:p>
      <w:pPr>
        <w:pStyle w:val="Heading2"/>
      </w:pPr>
      <w:r>
        <w:rPr>
          <w:b/>
        </w:rPr>
        <w:t>5.1 Residuary transfer.</w:t>
      </w:r>
      <w:r>
        <w:t xml:space="preserve">  I give all the rest, residue, and remainder of my probate estate, after the specific devise and spouse disposition above and after proper expenses, to the Trustee of the Nunes Family Testamentary Trust created in Article VI. This includes property not otherwise effectively disposed of by this Will. The trust receives only property that passes to it under this Will; it does not control property that passes outside my probate estate.</w:t>
      </w:r>
    </w:p>
    <w:p>
      <w:pPr>
        <w:pStyle w:val="Heading2"/>
      </w:pPr>
      <w:r>
        <w:rPr>
          <w:b/>
        </w:rPr>
        <w:t>5.2 Adult-children beneficial interest.</w:t>
      </w:r>
      <w:r>
        <w:t xml:space="preserve">  During the trust term, my adult children from my first marriage, [ADULT CHILDREN — FULL NAMES], are the intended current remainder beneficiaries in the proportions stated in Section 6.3. They are distinct from my surviving spouse and do not take the spouse gift merely by being members of a combined class.</w:t>
      </w:r>
    </w:p>
    <w:p>
      <w:pPr>
        <w:pStyle w:val="Heading1"/>
      </w:pPr>
      <w:r>
        <w:t>ARTICLE VI — NUNES FAMILY TESTAMENTARY TRUST</w:t>
      </w:r>
    </w:p>
    <w:p>
      <w:pPr>
        <w:pStyle w:val="Heading2"/>
      </w:pPr>
      <w:r>
        <w:rPr>
          <w:b/>
        </w:rPr>
        <w:t>6.1 Trustee and successor.</w:t>
      </w:r>
      <w:r>
        <w:t xml:space="preserve">  I appoint [PRIMARY TRUSTEE — FULL NAME] as Trustee. If that person does not serve or later ceases to serve, [SUCCESSOR TRUSTEE — FULL NAME] shall serve. If neither can serve, a court of competent jurisdiction may appoint a qualified successor Trustee. A Trustee may resign on reasonable notice as law permits.</w:t>
      </w:r>
    </w:p>
    <w:p>
      <w:pPr>
        <w:pStyle w:val="Heading2"/>
      </w:pPr>
      <w:r>
        <w:rPr>
          <w:b/>
        </w:rPr>
        <w:t>6.2 Trust purpose and permitted distributions.</w:t>
      </w:r>
      <w:r>
        <w:t xml:space="preserve">  The Trustee shall hold, invest, and administer the trust estate for the benefit of my surviving spouse, if living, and then for my adult children as described below. During my surviving spouse’s lifetime, the Trustee may distribute net income and principal, in the Trustee’s discretion, for my surviving spouse’s health, education, maintenance, and support, taking account of known resources and other relevant circumstances. This is not intended to determine or defeat any statutory spousal right.</w:t>
      </w:r>
    </w:p>
    <w:p>
      <w:pPr>
        <w:pStyle w:val="Heading2"/>
      </w:pPr>
      <w:r>
        <w:rPr>
          <w:b/>
        </w:rPr>
        <w:t>6.3 Distribution after spouse’s interest ends.</w:t>
      </w:r>
      <w:r>
        <w:t xml:space="preserve">  At my surviving spouse’s death, or at my death if my spouse does not survive me by thirty (30) days, the Trustee shall distribute the remaining trust estate in equal shares to my then-living adult children from my first marriage, [ADULT CHILDREN — FULL NAMES]. If none survives, the remaining trust estate shall pass to [ALTERNATE HUMAN REMAINDER BENEFICIARY OR CHARITABLE BENEFICIARY — CLIENT TO SELECT], subject to the final sentence of Section 7.4.</w:t>
      </w:r>
    </w:p>
    <w:p>
      <w:pPr>
        <w:pStyle w:val="Heading2"/>
      </w:pPr>
      <w:r>
        <w:rPr>
          <w:b/>
        </w:rPr>
        <w:t>6.4 Trustee powers.</w:t>
      </w:r>
      <w:r>
        <w:t xml:space="preserve">  In addition to powers provided by law, the Trustee may collect, retain, invest, reinvest, sell, lease, insure, repair, and manage trust property; pay lawful expenses, taxes, and compensation; make distributions directly or for a beneficiary’s benefit; employ professionals; and divide or distribute assets in cash or in kind. These powers are subject to applicable fiduciary duties and do not authorize the Trustee to take property not owned by the estate or trust.</w:t>
      </w:r>
    </w:p>
    <w:p>
      <w:pPr>
        <w:pStyle w:val="Heading1"/>
      </w:pPr>
      <w:r>
        <w:t>ARTICLE VII — CARE OF MY TWO DOGS</w:t>
      </w:r>
    </w:p>
    <w:p>
      <w:pPr>
        <w:pStyle w:val="Heading2"/>
      </w:pPr>
      <w:r>
        <w:rPr>
          <w:b/>
        </w:rPr>
        <w:t>7.1 Identification and caregiver.</w:t>
      </w:r>
      <w:r>
        <w:t xml:space="preserve">  I have two dogs, identified before execution as [DOG 1 DESCRIPTION/NAME] and [DOG 2 DESCRIPTION/NAME] (collectively, the "Dogs"). I request that [PRIMARY CAREGIVER — FULL NAME] accept custody and provide humane care for the Dogs. If that person cannot or will not do so, [SUCCESSOR CAREGIVER — FULL NAME] shall be asked to serve. The Dogs are not human beneficiaries; this provision is a care arrangement administered for their benefit as permitted by law.</w:t>
      </w:r>
    </w:p>
    <w:p>
      <w:pPr>
        <w:pStyle w:val="Heading2"/>
      </w:pPr>
      <w:r>
        <w:rPr>
          <w:b/>
        </w:rPr>
        <w:t>7.2 Pet-care fund and administration.</w:t>
      </w:r>
      <w:r>
        <w:t xml:space="preserve">  The Trustee may allocate to a separate pet-care fund [DOLLAR AMOUNT OR FORMULA — CLIENT TO SELECT], if available from the residuary trust estate, and may reimburse the serving caregiver for reasonable food, veterinary, grooming, boarding, training, insurance, and other ordinary care expenses for the Dogs. The Trustee may pay providers directly, require reasonable receipts or reports, and replace a caregiver who is unable or unwilling to provide appropriate care. No caregiver has a personal right to an amount beyond reasonable reimbursement or compensation expressly approved by the Trustee.</w:t>
      </w:r>
    </w:p>
    <w:p>
      <w:pPr>
        <w:pStyle w:val="Heading2"/>
      </w:pPr>
      <w:r>
        <w:rPr>
          <w:b/>
        </w:rPr>
        <w:t>7.3 Fallback.</w:t>
      </w:r>
      <w:r>
        <w:t xml:space="preserve">  If no nominated caregiver is able or willing to serve, the Trustee shall use reasonable efforts to place the Dogs with a responsible individual or organization chosen by the Trustee and may use the pet-care fund for placement and reasonable continuing care. This Will does not replace a separate living-care agreement or directions for care while I am alive.</w:t>
      </w:r>
    </w:p>
    <w:p>
      <w:pPr>
        <w:pStyle w:val="Heading2"/>
      </w:pPr>
      <w:r>
        <w:rPr>
          <w:b/>
        </w:rPr>
        <w:t>7.4 Termination and remainder.</w:t>
      </w:r>
      <w:r>
        <w:t xml:space="preserve">  The pet-care fund ends on the death of the last surviving Dog or when no Dog remains in the Trustee’s care plan. The Trustee shall then add the remaining pet-care fund to the Nunes Family Testamentary Trust for distribution under Section 6.3. If that trust has already terminated, the remainder passes to [ALTERNATE HUMAN REMAINDER BENEFICIARY OR CHARITABLE BENEFICIARY — CLIENT TO SELECT].</w:t>
      </w:r>
    </w:p>
    <w:p>
      <w:pPr>
        <w:pStyle w:val="Heading1"/>
      </w:pPr>
      <w:r>
        <w:t>ARTICLE VIII — SURVIVORSHIP, NO-CONTEST, AND GENERAL PROVISIONS</w:t>
      </w:r>
    </w:p>
    <w:p>
      <w:pPr>
        <w:pStyle w:val="Heading2"/>
      </w:pPr>
      <w:r>
        <w:rPr>
          <w:b/>
        </w:rPr>
        <w:t>8.1 Survivorship.</w:t>
      </w:r>
      <w:r>
        <w:t xml:space="preserve">  A beneficiary must survive me by thirty (30) days to receive a gift under this Will. A beneficiary who does not survive for that period is treated as having predeceased me for the affected gift, which passes as this Will otherwise provides.</w:t>
      </w:r>
    </w:p>
    <w:p>
      <w:pPr>
        <w:pStyle w:val="Heading2"/>
      </w:pPr>
      <w:r>
        <w:rPr>
          <w:b/>
        </w:rPr>
        <w:t>8.2 Conditional no-contest provision.</w:t>
      </w:r>
      <w:r>
        <w:t xml:space="preserve">  To the extent enforceable under the law that properly governs the particular proceeding, a beneficiary who, without probable cause or other protection recognized by applicable law, directly contests the validity of this Will or seeks to defeat a material dispositive provision shall forfeit the gift otherwise made to that beneficiary, and that gift shall pass as though the beneficiary had predeceased me. This provision is intended to be construed narrowly and does not purport to bar an action that applicable law protects, a good-faith request for construction, or a fiduciary’s proper action. Its effect may be limited by Minnesota law, Wisconsin law, or other applicable law.</w:t>
      </w:r>
    </w:p>
    <w:p>
      <w:pPr>
        <w:pStyle w:val="Heading2"/>
      </w:pPr>
      <w:r>
        <w:rPr>
          <w:b/>
        </w:rPr>
        <w:t>8.3 Severability.</w:t>
      </w:r>
      <w:r>
        <w:t xml:space="preserve">  If a provision of this Will is held invalid or unenforceable, the remaining provisions shall remain effective to the fullest extent permitted by law. This savings clause does not cure a failure to comply with required execution formalities.</w:t>
      </w:r>
    </w:p>
    <w:p>
      <w:pPr>
        <w:pStyle w:val="Heading2"/>
      </w:pPr>
      <w:r>
        <w:rPr>
          <w:b/>
        </w:rPr>
        <w:t>8.4 Headings and gender.</w:t>
      </w:r>
      <w:r>
        <w:t xml:space="preserve">  Headings are for convenience only. Singular and plural, and gendered and ungendered references, include their reasonable counterparts where the context requires.</w:t>
      </w:r>
    </w:p>
    <w:p>
      <w:pPr>
        <w:pStyle w:val="Heading1"/>
      </w:pPr>
      <w:r>
        <w:t>ARTICLE IX — EXECUTION</w:t>
      </w:r>
    </w:p>
    <w:p>
      <w:r>
        <w:t>SIGNED on the ____ day of ____________________, 20____, at [CITY], [STATE], by Halvard Nunes, who declares this instrument to be his Last Will and Testament. The execution ceremony, witness process, and any notarial authentication must be completed only as counsel confirms is appropriate under applicable law.</w:t>
      </w:r>
    </w:p>
    <w:p>
      <w:r>
        <w:br/>
      </w:r>
    </w:p>
    <w:tbl>
      <w:tblPr>
        <w:tblW w:type="auto" w:w="0"/>
        <w:tblLayout w:type="fixed"/>
        <w:tblLook w:firstColumn="1" w:firstRow="1" w:lastColumn="0" w:lastRow="0" w:noHBand="0" w:noVBand="1" w:val="04A0"/>
      </w:tblPr>
      <w:tblGrid>
        <w:gridCol w:w="4896"/>
        <w:gridCol w:w="4896"/>
      </w:tblGrid>
      <w:tr>
        <w:tc>
          <w:tcPr>
            <w:tcW w:type="dxa" w:w="5083"/>
            <w:shd w:fill="EDEDED"/>
          </w:tcPr>
          <w:p>
            <w:pPr>
              <w:spacing w:after="20"/>
            </w:pPr>
            <w:r>
              <w:rPr>
                <w:rFonts w:ascii="Times New Roman" w:hAnsi="Times New Roman"/>
                <w:sz w:val="17"/>
              </w:rPr>
              <w:t>Testator signature</w:t>
            </w:r>
          </w:p>
        </w:tc>
        <w:tc>
          <w:tcPr>
            <w:tcW w:type="dxa" w:w="5083"/>
          </w:tcPr>
          <w:p>
            <w:pPr>
              <w:spacing w:after="20"/>
            </w:pPr>
            <w:r>
              <w:rPr>
                <w:rFonts w:ascii="Times New Roman" w:hAnsi="Times New Roman"/>
                <w:sz w:val="17"/>
              </w:rPr>
              <w:t>________________________________________</w:t>
              <w:br/>
              <w:t>Halvard Nunes</w:t>
            </w:r>
          </w:p>
        </w:tc>
      </w:tr>
      <w:tr>
        <w:tc>
          <w:tcPr>
            <w:tcW w:type="dxa" w:w="5083"/>
            <w:shd w:fill="EDEDED"/>
          </w:tcPr>
          <w:p>
            <w:pPr>
              <w:spacing w:after="20"/>
            </w:pPr>
            <w:r>
              <w:rPr>
                <w:rFonts w:ascii="Times New Roman" w:hAnsi="Times New Roman"/>
                <w:sz w:val="17"/>
              </w:rPr>
              <w:t>Date signed</w:t>
            </w:r>
          </w:p>
        </w:tc>
        <w:tc>
          <w:tcPr>
            <w:tcW w:type="dxa" w:w="5083"/>
          </w:tcPr>
          <w:p>
            <w:pPr>
              <w:spacing w:after="20"/>
            </w:pPr>
            <w:r>
              <w:rPr>
                <w:rFonts w:ascii="Times New Roman" w:hAnsi="Times New Roman"/>
                <w:sz w:val="17"/>
              </w:rPr>
              <w:t>________________________________________</w:t>
            </w:r>
          </w:p>
        </w:tc>
      </w:tr>
      <w:tr>
        <w:tc>
          <w:tcPr>
            <w:tcW w:type="dxa" w:w="5083"/>
            <w:shd w:fill="EDEDED"/>
          </w:tcPr>
          <w:p>
            <w:pPr>
              <w:spacing w:after="20"/>
            </w:pPr>
            <w:r>
              <w:rPr>
                <w:rFonts w:ascii="Times New Roman" w:hAnsi="Times New Roman"/>
                <w:sz w:val="17"/>
              </w:rPr>
              <w:t>Witness 1 signature</w:t>
            </w:r>
          </w:p>
        </w:tc>
        <w:tc>
          <w:tcPr>
            <w:tcW w:type="dxa" w:w="5083"/>
          </w:tcPr>
          <w:p>
            <w:pPr>
              <w:spacing w:after="20"/>
            </w:pPr>
            <w:r>
              <w:rPr>
                <w:rFonts w:ascii="Times New Roman" w:hAnsi="Times New Roman"/>
                <w:sz w:val="17"/>
              </w:rPr>
              <w:t>________________________________________</w:t>
              <w:br/>
              <w:t>Printed name: ____________________________</w:t>
              <w:br/>
              <w:t>Address: _________________________________</w:t>
            </w:r>
          </w:p>
        </w:tc>
      </w:tr>
      <w:tr>
        <w:tc>
          <w:tcPr>
            <w:tcW w:type="dxa" w:w="5083"/>
            <w:shd w:fill="EDEDED"/>
          </w:tcPr>
          <w:p>
            <w:pPr>
              <w:spacing w:after="20"/>
            </w:pPr>
            <w:r>
              <w:rPr>
                <w:rFonts w:ascii="Times New Roman" w:hAnsi="Times New Roman"/>
                <w:sz w:val="17"/>
              </w:rPr>
              <w:t>Witness 2 signature</w:t>
            </w:r>
          </w:p>
        </w:tc>
        <w:tc>
          <w:tcPr>
            <w:tcW w:type="dxa" w:w="5083"/>
          </w:tcPr>
          <w:p>
            <w:pPr>
              <w:spacing w:after="20"/>
            </w:pPr>
            <w:r>
              <w:rPr>
                <w:rFonts w:ascii="Times New Roman" w:hAnsi="Times New Roman"/>
                <w:sz w:val="17"/>
              </w:rPr>
              <w:t>________________________________________</w:t>
              <w:br/>
              <w:t>Printed name: ____________________________</w:t>
              <w:br/>
              <w:t>Address: _________________________________</w:t>
            </w:r>
          </w:p>
        </w:tc>
      </w:tr>
      <w:tr>
        <w:tc>
          <w:tcPr>
            <w:tcW w:type="dxa" w:w="5083"/>
            <w:shd w:fill="EDEDED"/>
          </w:tcPr>
          <w:p>
            <w:pPr>
              <w:spacing w:after="20"/>
            </w:pPr>
            <w:r>
              <w:rPr>
                <w:rFonts w:ascii="Times New Roman" w:hAnsi="Times New Roman"/>
                <w:sz w:val="17"/>
              </w:rPr>
              <w:t>Notary / authentication role (if used)</w:t>
            </w:r>
          </w:p>
        </w:tc>
        <w:tc>
          <w:tcPr>
            <w:tcW w:type="dxa" w:w="5083"/>
          </w:tcPr>
          <w:p>
            <w:pPr>
              <w:spacing w:after="20"/>
            </w:pPr>
            <w:r>
              <w:rPr>
                <w:rFonts w:ascii="Times New Roman" w:hAnsi="Times New Roman"/>
                <w:sz w:val="17"/>
              </w:rPr>
              <w:t>________________________________________</w:t>
              <w:br/>
              <w:t>Name and commission/authority: ____________</w:t>
              <w:br/>
              <w:t>My commission expires: ____________________</w:t>
            </w:r>
          </w:p>
        </w:tc>
      </w:tr>
    </w:tbl>
    <w:p>
      <w:r>
        <w:br w:type="page"/>
      </w:r>
    </w:p>
    <w:p>
      <w:pPr>
        <w:jc w:val="center"/>
      </w:pPr>
      <w:r>
        <w:rPr>
          <w:b/>
          <w:sz w:val="26"/>
        </w:rPr>
        <w:t>COUNSEL-USE ASSUMPTIONS AND EXECUTION NOTE</w:t>
      </w:r>
    </w:p>
    <w:p>
      <w:pPr>
        <w:jc w:val="center"/>
      </w:pPr>
      <w:r>
        <w:rPr>
          <w:b/>
          <w:sz w:val="18"/>
        </w:rPr>
        <w:t>NOT PART OF THE WILL — DO NOT EXECUTE OR ATTACH TO SIGNED ORIGINAL</w:t>
      </w:r>
    </w:p>
    <w:p>
      <w:pPr>
        <w:pStyle w:val="Heading1"/>
      </w:pPr>
      <w:r>
        <w:t>SELECTED CROSS-BORDER APPROACH</w:t>
      </w:r>
    </w:p>
    <w:p>
      <w:r>
        <w:t>This draft deliberately uses one Minnesota will as Halvard’s primary testamentary instrument and includes a specific devise of only his probate interest in the Wisconsin cabin. It selects Minnesota law for the Will where properly applicable, while expressly preserving Wisconsin situs, title, marital-property, and procedural questions. It does not offer a competing second-will approach. Counsel should decide after review whether a separate Wisconsin instrument or a Wisconsin ancillary or other proceeding should be considered; neither is automatically required or avoided by this draft.</w:t>
      </w:r>
    </w:p>
    <w:p>
      <w:pPr>
        <w:pStyle w:val="Heading1"/>
      </w:pPr>
      <w:r>
        <w:t>PRE-SIGNING FACTS AND CHOICES TO COMPLETE</w:t>
      </w:r>
    </w:p>
    <w:p>
      <w:r>
        <w:rPr>
          <w:b/>
        </w:rPr>
        <w:t>Marital and family facts:</w:t>
      </w:r>
      <w:r>
        <w:t xml:space="preserve"> Confirm current spouse’s full legal name, marriage history, any agreements, all children and descendants, and the intended shares or gift for spouse versus adult children.</w:t>
      </w:r>
    </w:p>
    <w:p>
      <w:r>
        <w:rPr>
          <w:b/>
        </w:rPr>
        <w:t>Ownership and cabin title:</w:t>
      </w:r>
      <w:r>
        <w:t xml:space="preserve"> Obtain current Wisconsin deed, legal description, tax/parcel information, liens, co-owner interests, and classification facts. Confirm that the stated specific devise is of an interest Halvard owns at death and review Minnesota/Wisconsin marital-property implications.</w:t>
      </w:r>
    </w:p>
    <w:p>
      <w:r>
        <w:rPr>
          <w:b/>
        </w:rPr>
        <w:t>Beneficiary designations:</w:t>
      </w:r>
      <w:r>
        <w:t xml:space="preserve"> Inventory beneficiary-designation accounts, joint ownership, payable/transfer-on-death arrangements, and trusts. Coordinate them with the Will; this Will does not change them merely by referring to them.</w:t>
      </w:r>
    </w:p>
    <w:p>
      <w:r>
        <w:rPr>
          <w:b/>
        </w:rPr>
        <w:t>Fiduciaries and dogs:</w:t>
      </w:r>
      <w:r>
        <w:t xml:space="preserve"> Obtain consents and full names for Personal Representative, Trustee, caregivers, and successors. Identify both Dogs, select the pet-care amount/formula, and select the human or charitable alternate remainder.</w:t>
      </w:r>
    </w:p>
    <w:p>
      <w:r>
        <w:rPr>
          <w:b/>
        </w:rPr>
        <w:t>Dispositive choices:</w:t>
      </w:r>
      <w:r>
        <w:t xml:space="preserve"> Complete the cabin devisee, spouse gift, adult-child roster, alternate remainder, and all bracketed fields. Do not leave an unlabeled blank or unresolved recipient in an executed instrument.</w:t>
      </w:r>
    </w:p>
    <w:p>
      <w:pPr>
        <w:pStyle w:val="Heading1"/>
      </w:pPr>
      <w:r>
        <w:t>EXECUTION, CAPACITY, AND RECORDS</w:t>
      </w:r>
    </w:p>
    <w:p>
      <w:r>
        <w:t>Before signing, the responsible attorney must confirm current Minnesota execution formalities, including the appropriate witness and notarial process, and any Wisconsin recognition or procedure relevant to the cabin. Use a planned signing date before the 12th only if the attorney concludes the instrument and ceremony are ready; the surgery circumstance does not establish capacity or incapacity. The responsible attorney should make a contemporaneous assessment of testamentary capacity and voluntariness and obtain appropriate professional input where needed, without directing a diagnosis or medical treatment.</w:t>
      </w:r>
    </w:p>
    <w:p>
      <w:r>
        <w:t>Transition workflow: retain and control the properly executed paper original in the current original-file process, with a documented custodian and retrieval location. Scan and index an execution-complete copy in the digital matter-management system for future retrieval, including a record of who holds the original. A scan, electronic storage, or digital signature is not automatically equivalent to a properly executed original will; use electronic execution only if counsel confirms the applicable law and process.</w:t>
      </w:r>
    </w:p>
    <w:p>
      <w:pPr>
        <w:pStyle w:val="Heading1"/>
      </w:pPr>
      <w:r>
        <w:t>FINAL COUNSEL CHECK</w:t>
      </w:r>
    </w:p>
    <w:p>
      <w:r>
        <w:t>Review this draft for Minnesota elective-share and surviving-spouse rights, Wisconsin real-property administration, title and ownership classification, tax and creditor effects, fiduciary suitability, no-contest enforceability limits, and consistency with all nonprobate transfers. Do not represent that this Will guarantees probate admission, controls property Halvard does not own, works identically in both states, or eliminates all Wisconsin administration.</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Draft for counsel review — not executed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