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Felix Bergqvist: “A Way of Paying Attention”</w:t>
      </w:r>
    </w:p>
    <w:p>
      <w:pPr>
        <w:spacing w:after="80"/>
      </w:pPr>
      <w:r>
        <w:rPr>
          <w:b/>
          <w:color w:val="144C5C"/>
          <w:sz w:val="20"/>
        </w:rPr>
        <w:t>Tribute treatment &amp; first-assembly edit map</w:t>
      </w:r>
    </w:p>
    <w:p>
      <w:r>
        <w:t>For Ivo Salcedo and the Gallowspring Trust board | Commissioned by Kestrel Collective | Core film runtime: exactly 12:00</w:t>
      </w:r>
    </w:p>
    <w:p>
      <w:pPr>
        <w:spacing w:after="20"/>
      </w:pPr>
      <w:r>
        <w:rPr>
          <w:rFonts w:ascii="Arial" w:hAnsi="Arial"/>
          <w:b/>
          <w:color w:val="144C5C"/>
          <w:sz w:val="15"/>
        </w:rPr>
        <w:t>RECOMMENDATION / ORGANISING IDEA</w:t>
      </w:r>
    </w:p>
    <w:p>
      <w:r>
        <w:t>Build the film as an accumulating answer to one question: what does Felix leave in other people’s way of paying attention? Each voice supplies evidence of a practice he made contagious — listening, making room, working with uncertainty, and returning to people — rather than a chronological account of his career. This is the editorial filter: a warm anecdote belongs only when it shows that practice; isolated praise, achievements and retrospective biography do not.</w:t>
      </w:r>
    </w:p>
    <w:p>
      <w:r>
        <w:t>The shape gives the send-off room a generous present-tense thank-you while Felix is there, without demanding an emotional reaction from him. For later web viewing, the question-led structure gives a viewer who was not in the room a clear entry point and a complete argument, not event-only sentiment.</w:t>
      </w:r>
    </w:p>
    <w:p>
      <w:pPr>
        <w:spacing w:after="20"/>
      </w:pPr>
      <w:r>
        <w:rPr>
          <w:rFonts w:ascii="Arial" w:hAnsi="Arial"/>
          <w:b/>
          <w:color w:val="144C5C"/>
          <w:sz w:val="15"/>
        </w:rPr>
        <w:t>AUDIENCE, TONE AND BOUNDARIES</w:t>
      </w:r>
    </w:p>
    <w:p>
      <w:r>
        <w:t>Primary audience: Felix, colleagues, partners and board guests at the send-off; secondary audience: Kestrel Collective’s public and organisational web viewers. Tone is affectionate, precise and respectful: moments of humour or quiet observation may breathe, but music, cutaways and close sequencing must not manufacture tears. Felix’s cardiac diagnosis and October departure are factual context, acknowledged once only if the source-context check supports it; they are not the subject. No medical claims, speculation, intimate detail or framing of departure as a spectacle of illness.</w:t>
      </w:r>
    </w:p>
    <w:p>
      <w:r>
        <w:t>Because Felix will be in the room, avoid surprise testimony about decline, regret or private family material. Offer Felix and Ivo a factual-context review of the near-final cut; do not seek a performance or a response. Keep the emotional turn on the living legacy in colleagues, not on diagnosis.</w:t>
      </w:r>
    </w:p>
    <w:p>
      <w:pPr>
        <w:spacing w:after="20"/>
      </w:pPr>
      <w:r>
        <w:rPr>
          <w:rFonts w:ascii="Arial" w:hAnsi="Arial"/>
          <w:b/>
          <w:color w:val="144C5C"/>
          <w:sz w:val="15"/>
        </w:rPr>
        <w:t>VOICE PLAN AND SELECTION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800"/>
        <w:gridCol w:w="6696"/>
      </w:tblGrid>
      <w:tr>
        <w:tc>
          <w:tcPr>
            <w:tcW w:type="dxa" w:w="3485"/>
            <w:vAlign w:val="top"/>
            <w:shd w:fill="174C5C"/>
          </w:tcPr>
          <w:p>
            <w:pPr>
              <w:spacing w:after="0" w:before="0"/>
            </w:pPr>
            <w:r/>
            <w:r>
              <w:rPr>
                <w:rFonts w:ascii="Arial" w:hAnsi="Arial"/>
                <w:b/>
                <w:color w:val="FFFFFF"/>
                <w:sz w:val="16"/>
              </w:rPr>
              <w:t>Priority / voice</w:t>
            </w:r>
          </w:p>
        </w:tc>
        <w:tc>
          <w:tcPr>
            <w:tcW w:type="dxa" w:w="3485"/>
            <w:vAlign w:val="top"/>
            <w:shd w:fill="174C5C"/>
          </w:tcPr>
          <w:p>
            <w:pPr>
              <w:spacing w:after="0" w:before="0"/>
            </w:pPr>
            <w:r/>
            <w:r>
              <w:rPr>
                <w:rFonts w:ascii="Arial" w:hAnsi="Arial"/>
                <w:b/>
                <w:color w:val="FFFFFF"/>
                <w:sz w:val="16"/>
              </w:rPr>
              <w:t>Role</w:t>
            </w:r>
          </w:p>
        </w:tc>
        <w:tc>
          <w:tcPr>
            <w:tcW w:type="dxa" w:w="3485"/>
            <w:vAlign w:val="top"/>
            <w:shd w:fill="174C5C"/>
          </w:tcPr>
          <w:p>
            <w:pPr>
              <w:spacing w:after="0" w:before="0"/>
            </w:pPr>
            <w:r/>
            <w:r>
              <w:rPr>
                <w:rFonts w:ascii="Arial" w:hAnsi="Arial"/>
                <w:b/>
                <w:color w:val="FFFFFF"/>
                <w:sz w:val="16"/>
              </w:rPr>
              <w:t>Use in assembly</w:t>
            </w:r>
          </w:p>
        </w:tc>
      </w:tr>
      <w:tr>
        <w:tc>
          <w:tcPr>
            <w:tcW w:type="dxa" w:w="2016"/>
            <w:vAlign w:val="top"/>
          </w:tcPr>
          <w:p>
            <w:pPr>
              <w:spacing w:after="0" w:before="0"/>
            </w:pPr>
            <w:r/>
            <w:r>
              <w:rPr>
                <w:rFonts w:ascii="Arial" w:hAnsi="Arial"/>
                <w:b w:val="0"/>
                <w:sz w:val="15"/>
              </w:rPr>
              <w:t>ESSENTIAL</w:t>
              <w:br/>
              <w:t>Ivo Salcedo</w:t>
            </w:r>
          </w:p>
        </w:tc>
        <w:tc>
          <w:tcPr>
            <w:tcW w:type="dxa" w:w="1800"/>
            <w:vAlign w:val="top"/>
          </w:tcPr>
          <w:p>
            <w:pPr>
              <w:spacing w:after="0" w:before="0"/>
            </w:pPr>
            <w:r/>
            <w:r>
              <w:rPr>
                <w:rFonts w:ascii="Arial" w:hAnsi="Arial"/>
                <w:b w:val="0"/>
                <w:sz w:val="15"/>
              </w:rPr>
              <w:t>Thesis / public frame</w:t>
            </w:r>
          </w:p>
        </w:tc>
        <w:tc>
          <w:tcPr>
            <w:tcW w:type="dxa" w:w="6696"/>
            <w:vAlign w:val="top"/>
          </w:tcPr>
          <w:p>
            <w:pPr>
              <w:spacing w:after="0" w:before="0"/>
            </w:pPr>
            <w:r/>
            <w:r>
              <w:rPr>
                <w:rFonts w:ascii="Arial" w:hAnsi="Arial"/>
                <w:b w:val="0"/>
                <w:sz w:val="15"/>
              </w:rPr>
              <w:t>Establishes “a way of paying attention”; returns to resolve it. Board perspective without institutional tribute tone.</w:t>
            </w:r>
          </w:p>
        </w:tc>
      </w:tr>
      <w:tr>
        <w:tc>
          <w:tcPr>
            <w:tcW w:type="dxa" w:w="2016"/>
            <w:vAlign w:val="top"/>
          </w:tcPr>
          <w:p>
            <w:pPr>
              <w:spacing w:after="0" w:before="0"/>
            </w:pPr>
            <w:r/>
            <w:r>
              <w:rPr>
                <w:rFonts w:ascii="Arial" w:hAnsi="Arial"/>
                <w:b w:val="0"/>
                <w:sz w:val="15"/>
              </w:rPr>
              <w:t>ESSENTIAL</w:t>
              <w:br/>
              <w:t>Mara Venn</w:t>
            </w:r>
          </w:p>
        </w:tc>
        <w:tc>
          <w:tcPr>
            <w:tcW w:type="dxa" w:w="1800"/>
            <w:vAlign w:val="top"/>
          </w:tcPr>
          <w:p>
            <w:pPr>
              <w:spacing w:after="0" w:before="0"/>
            </w:pPr>
            <w:r/>
            <w:r>
              <w:rPr>
                <w:rFonts w:ascii="Arial" w:hAnsi="Arial"/>
                <w:b w:val="0"/>
                <w:sz w:val="15"/>
              </w:rPr>
              <w:t>Origin / rigour</w:t>
            </w:r>
          </w:p>
        </w:tc>
        <w:tc>
          <w:tcPr>
            <w:tcW w:type="dxa" w:w="6696"/>
            <w:vAlign w:val="top"/>
          </w:tcPr>
          <w:p>
            <w:pPr>
              <w:spacing w:after="0" w:before="0"/>
            </w:pPr>
            <w:r/>
            <w:r>
              <w:rPr>
                <w:rFonts w:ascii="Arial" w:hAnsi="Arial"/>
                <w:b w:val="0"/>
                <w:sz w:val="15"/>
              </w:rPr>
              <w:t>Shows Felix’s question-led practice and care for the people doing the work.</w:t>
            </w:r>
          </w:p>
        </w:tc>
      </w:tr>
      <w:tr>
        <w:tc>
          <w:tcPr>
            <w:tcW w:type="dxa" w:w="2016"/>
            <w:vAlign w:val="top"/>
          </w:tcPr>
          <w:p>
            <w:pPr>
              <w:spacing w:after="0" w:before="0"/>
            </w:pPr>
            <w:r/>
            <w:r>
              <w:rPr>
                <w:rFonts w:ascii="Arial" w:hAnsi="Arial"/>
                <w:b w:val="0"/>
                <w:sz w:val="15"/>
              </w:rPr>
              <w:t>ESSENTIAL</w:t>
              <w:br/>
              <w:t>Nadia Okoro</w:t>
            </w:r>
          </w:p>
        </w:tc>
        <w:tc>
          <w:tcPr>
            <w:tcW w:type="dxa" w:w="1800"/>
            <w:vAlign w:val="top"/>
          </w:tcPr>
          <w:p>
            <w:pPr>
              <w:spacing w:after="0" w:before="0"/>
            </w:pPr>
            <w:r/>
            <w:r>
              <w:rPr>
                <w:rFonts w:ascii="Arial" w:hAnsi="Arial"/>
                <w:b w:val="0"/>
                <w:sz w:val="15"/>
              </w:rPr>
              <w:t>Community proof</w:t>
            </w:r>
          </w:p>
        </w:tc>
        <w:tc>
          <w:tcPr>
            <w:tcW w:type="dxa" w:w="6696"/>
            <w:vAlign w:val="top"/>
          </w:tcPr>
          <w:p>
            <w:pPr>
              <w:spacing w:after="0" w:before="0"/>
            </w:pPr>
            <w:r/>
            <w:r>
              <w:rPr>
                <w:rFonts w:ascii="Arial" w:hAnsi="Arial"/>
                <w:b w:val="0"/>
                <w:sz w:val="15"/>
              </w:rPr>
              <w:t>Makes listening and returning concrete beyond the organisation.</w:t>
            </w:r>
          </w:p>
        </w:tc>
      </w:tr>
      <w:tr>
        <w:tc>
          <w:tcPr>
            <w:tcW w:type="dxa" w:w="2016"/>
            <w:vAlign w:val="top"/>
          </w:tcPr>
          <w:p>
            <w:pPr>
              <w:spacing w:after="0" w:before="0"/>
            </w:pPr>
            <w:r/>
            <w:r>
              <w:rPr>
                <w:rFonts w:ascii="Arial" w:hAnsi="Arial"/>
                <w:b w:val="0"/>
                <w:sz w:val="15"/>
              </w:rPr>
              <w:t>ESSENTIAL</w:t>
              <w:br/>
              <w:t>Evan Cho</w:t>
            </w:r>
          </w:p>
        </w:tc>
        <w:tc>
          <w:tcPr>
            <w:tcW w:type="dxa" w:w="1800"/>
            <w:vAlign w:val="top"/>
          </w:tcPr>
          <w:p>
            <w:pPr>
              <w:spacing w:after="0" w:before="0"/>
            </w:pPr>
            <w:r/>
            <w:r>
              <w:rPr>
                <w:rFonts w:ascii="Arial" w:hAnsi="Arial"/>
                <w:b w:val="0"/>
                <w:sz w:val="15"/>
              </w:rPr>
              <w:t>Transmission</w:t>
            </w:r>
          </w:p>
        </w:tc>
        <w:tc>
          <w:tcPr>
            <w:tcW w:type="dxa" w:w="6696"/>
            <w:vAlign w:val="top"/>
          </w:tcPr>
          <w:p>
            <w:pPr>
              <w:spacing w:after="0" w:before="0"/>
            </w:pPr>
            <w:r/>
            <w:r>
              <w:rPr>
                <w:rFonts w:ascii="Arial" w:hAnsi="Arial"/>
                <w:b w:val="0"/>
                <w:sz w:val="15"/>
              </w:rPr>
              <w:t>Shows a practice passed to an early-career colleague; carries the turn into legacy.</w:t>
            </w:r>
          </w:p>
        </w:tc>
      </w:tr>
      <w:tr>
        <w:tc>
          <w:tcPr>
            <w:tcW w:type="dxa" w:w="2016"/>
            <w:vAlign w:val="top"/>
          </w:tcPr>
          <w:p>
            <w:pPr>
              <w:spacing w:after="0" w:before="0"/>
            </w:pPr>
            <w:r/>
            <w:r>
              <w:rPr>
                <w:rFonts w:ascii="Arial" w:hAnsi="Arial"/>
                <w:b w:val="0"/>
                <w:sz w:val="15"/>
              </w:rPr>
              <w:t>ESSENTIAL</w:t>
              <w:br/>
              <w:t>Leila Armitage</w:t>
            </w:r>
          </w:p>
        </w:tc>
        <w:tc>
          <w:tcPr>
            <w:tcW w:type="dxa" w:w="1800"/>
            <w:vAlign w:val="top"/>
          </w:tcPr>
          <w:p>
            <w:pPr>
              <w:spacing w:after="0" w:before="0"/>
            </w:pPr>
            <w:r/>
            <w:r>
              <w:rPr>
                <w:rFonts w:ascii="Arial" w:hAnsi="Arial"/>
                <w:b w:val="0"/>
                <w:sz w:val="15"/>
              </w:rPr>
              <w:t>Human presence</w:t>
            </w:r>
          </w:p>
        </w:tc>
        <w:tc>
          <w:tcPr>
            <w:tcW w:type="dxa" w:w="6696"/>
            <w:vAlign w:val="top"/>
          </w:tcPr>
          <w:p>
            <w:pPr>
              <w:spacing w:after="0" w:before="0"/>
            </w:pPr>
            <w:r/>
            <w:r>
              <w:rPr>
                <w:rFonts w:ascii="Arial" w:hAnsi="Arial"/>
                <w:b w:val="0"/>
                <w:sz w:val="15"/>
              </w:rPr>
              <w:t>“Empty chair” image gives form to making room; quiet, unsentimental human detail.</w:t>
            </w:r>
          </w:p>
        </w:tc>
      </w:tr>
      <w:tr>
        <w:tc>
          <w:tcPr>
            <w:tcW w:type="dxa" w:w="2016"/>
            <w:vAlign w:val="top"/>
          </w:tcPr>
          <w:p>
            <w:pPr>
              <w:spacing w:after="0" w:before="0"/>
            </w:pPr>
            <w:r/>
            <w:r>
              <w:rPr>
                <w:rFonts w:ascii="Arial" w:hAnsi="Arial"/>
                <w:b w:val="0"/>
                <w:sz w:val="15"/>
              </w:rPr>
              <w:t>USEFUL RESERVES</w:t>
              <w:br/>
              <w:t>Tomas Rydell; Dr. Saira Bell</w:t>
            </w:r>
          </w:p>
        </w:tc>
        <w:tc>
          <w:tcPr>
            <w:tcW w:type="dxa" w:w="1800"/>
            <w:vAlign w:val="top"/>
          </w:tcPr>
          <w:p>
            <w:pPr>
              <w:spacing w:after="0" w:before="0"/>
            </w:pPr>
            <w:r/>
            <w:r>
              <w:rPr>
                <w:rFonts w:ascii="Arial" w:hAnsi="Arial"/>
                <w:b w:val="0"/>
                <w:sz w:val="15"/>
              </w:rPr>
              <w:t>Working method / governance</w:t>
            </w:r>
          </w:p>
        </w:tc>
        <w:tc>
          <w:tcPr>
            <w:tcW w:type="dxa" w:w="6696"/>
            <w:vAlign w:val="top"/>
          </w:tcPr>
          <w:p>
            <w:pPr>
              <w:spacing w:after="0" w:before="0"/>
            </w:pPr>
            <w:r/>
            <w:r>
              <w:rPr>
                <w:rFonts w:ascii="Arial" w:hAnsi="Arial"/>
                <w:b w:val="0"/>
                <w:sz w:val="15"/>
              </w:rPr>
              <w:t>Short alternates on uncertainty and shared responsibility; use only if they sharpen the central question.</w:t>
            </w:r>
          </w:p>
        </w:tc>
      </w:tr>
      <w:tr>
        <w:tc>
          <w:tcPr>
            <w:tcW w:type="dxa" w:w="2016"/>
            <w:vAlign w:val="top"/>
          </w:tcPr>
          <w:p>
            <w:pPr>
              <w:spacing w:after="0" w:before="0"/>
            </w:pPr>
            <w:r/>
            <w:r>
              <w:rPr>
                <w:rFonts w:ascii="Arial" w:hAnsi="Arial"/>
                <w:b w:val="0"/>
                <w:sz w:val="15"/>
              </w:rPr>
              <w:t>CONTEXT RESERVES</w:t>
              <w:br/>
              <w:t>Cormac Macaulay; Ruth Bergqvist</w:t>
            </w:r>
          </w:p>
        </w:tc>
        <w:tc>
          <w:tcPr>
            <w:tcW w:type="dxa" w:w="1800"/>
            <w:vAlign w:val="top"/>
          </w:tcPr>
          <w:p>
            <w:pPr>
              <w:spacing w:after="0" w:before="0"/>
            </w:pPr>
            <w:r/>
            <w:r>
              <w:rPr>
                <w:rFonts w:ascii="Arial" w:hAnsi="Arial"/>
                <w:b w:val="0"/>
                <w:sz w:val="15"/>
              </w:rPr>
              <w:t>Promise / personal note</w:t>
            </w:r>
          </w:p>
        </w:tc>
        <w:tc>
          <w:tcPr>
            <w:tcW w:type="dxa" w:w="6696"/>
            <w:vAlign w:val="top"/>
          </w:tcPr>
          <w:p>
            <w:pPr>
              <w:spacing w:after="0" w:before="0"/>
            </w:pPr>
            <w:r/>
            <w:r>
              <w:rPr>
                <w:rFonts w:ascii="Arial" w:hAnsi="Arial"/>
                <w:b w:val="0"/>
                <w:sz w:val="15"/>
              </w:rPr>
              <w:t>Cormac may clarify acknowledgement; Ruth only with contextual consent and no private-medical implication.</w:t>
            </w:r>
          </w:p>
        </w:tc>
      </w:tr>
    </w:tbl>
    <w:p>
      <w:pPr>
        <w:spacing w:after="40"/>
      </w:pPr>
      <w:r>
        <w:rPr>
          <w:b/>
          <w:color w:val="144C5C"/>
          <w:sz w:val="17"/>
        </w:rPr>
        <w:t xml:space="preserve">Cut protection: </w:t>
      </w:r>
      <w:r>
        <w:rPr>
          <w:sz w:val="17"/>
        </w:rPr>
        <w:t>If assembly runs long, hold Tomas/Saira alternates, extended anecdotes and secondary archive runs in reserve first. Do not cut Ivo’s bookends, Evan’s transmission turn, or the final held breath; those carry the organising idea and resolution.</w:t>
      </w:r>
    </w:p>
    <w:p>
      <w:r>
        <w:br w:type="page"/>
      </w:r>
    </w:p>
    <w:p>
      <w:pPr>
        <w:spacing w:after="20"/>
      </w:pPr>
      <w:r>
        <w:rPr>
          <w:rFonts w:ascii="Arial" w:hAnsi="Arial"/>
          <w:b/>
          <w:color w:val="144C5C"/>
          <w:sz w:val="15"/>
        </w:rPr>
        <w:t>EDIT MAP — CORE RUNTIME 12:00, CONTIGUOUS; NO GAPS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37"/>
        <w:gridCol w:w="2045"/>
        <w:gridCol w:w="2376"/>
        <w:gridCol w:w="2520"/>
        <w:gridCol w:w="2534"/>
      </w:tblGrid>
      <w:tr>
        <w:tc>
          <w:tcPr>
            <w:tcW w:type="dxa" w:w="2091"/>
            <w:vAlign w:val="top"/>
            <w:shd w:fill="174C5C"/>
          </w:tcPr>
          <w:p>
            <w:pPr>
              <w:spacing w:after="0" w:before="0"/>
            </w:pPr>
            <w:r/>
            <w:r>
              <w:rPr>
                <w:rFonts w:ascii="Arial" w:hAnsi="Arial"/>
                <w:b/>
                <w:color w:val="FFFFFF"/>
                <w:sz w:val="14"/>
              </w:rPr>
              <w:t>Time</w:t>
            </w:r>
          </w:p>
        </w:tc>
        <w:tc>
          <w:tcPr>
            <w:tcW w:type="dxa" w:w="2091"/>
            <w:vAlign w:val="top"/>
            <w:shd w:fill="174C5C"/>
          </w:tcPr>
          <w:p>
            <w:pPr>
              <w:spacing w:after="0" w:before="0"/>
            </w:pPr>
            <w:r/>
            <w:r>
              <w:rPr>
                <w:rFonts w:ascii="Arial" w:hAnsi="Arial"/>
                <w:b/>
                <w:color w:val="FFFFFF"/>
                <w:sz w:val="14"/>
              </w:rPr>
              <w:t>Voice / selection</w:t>
            </w:r>
          </w:p>
        </w:tc>
        <w:tc>
          <w:tcPr>
            <w:tcW w:type="dxa" w:w="2091"/>
            <w:vAlign w:val="top"/>
            <w:shd w:fill="174C5C"/>
          </w:tcPr>
          <w:p>
            <w:pPr>
              <w:spacing w:after="0" w:before="0"/>
            </w:pPr>
            <w:r/>
            <w:r>
              <w:rPr>
                <w:rFonts w:ascii="Arial" w:hAnsi="Arial"/>
                <w:b/>
                <w:color w:val="FFFFFF"/>
                <w:sz w:val="14"/>
              </w:rPr>
              <w:t>Visual treatment</w:t>
            </w:r>
          </w:p>
        </w:tc>
        <w:tc>
          <w:tcPr>
            <w:tcW w:type="dxa" w:w="2091"/>
            <w:vAlign w:val="top"/>
            <w:shd w:fill="174C5C"/>
          </w:tcPr>
          <w:p>
            <w:pPr>
              <w:spacing w:after="0" w:before="0"/>
            </w:pPr>
            <w:r/>
            <w:r>
              <w:rPr>
                <w:rFonts w:ascii="Arial" w:hAnsi="Arial"/>
                <w:b/>
                <w:color w:val="FFFFFF"/>
                <w:sz w:val="14"/>
              </w:rPr>
              <w:t>Audio + transition</w:t>
            </w:r>
          </w:p>
        </w:tc>
        <w:tc>
          <w:tcPr>
            <w:tcW w:type="dxa" w:w="2091"/>
            <w:vAlign w:val="top"/>
            <w:shd w:fill="174C5C"/>
          </w:tcPr>
          <w:p>
            <w:pPr>
              <w:spacing w:after="0" w:before="0"/>
            </w:pPr>
            <w:r/>
            <w:r>
              <w:rPr>
                <w:rFonts w:ascii="Arial" w:hAnsi="Arial"/>
                <w:b/>
                <w:color w:val="FFFFFF"/>
                <w:sz w:val="14"/>
              </w:rPr>
              <w:t>Purpose</w:t>
            </w:r>
          </w:p>
        </w:tc>
      </w:tr>
      <w:tr>
        <w:trPr>
          <w:cantSplit/>
        </w:trPr>
        <w:tc>
          <w:tcPr>
            <w:tcW w:type="dxa" w:w="1037"/>
            <w:vAlign w:val="top"/>
          </w:tcPr>
          <w:p>
            <w:pPr>
              <w:spacing w:after="0" w:before="0"/>
            </w:pPr>
            <w:r/>
            <w:r>
              <w:rPr>
                <w:rFonts w:ascii="Arial" w:hAnsi="Arial"/>
                <w:b w:val="0"/>
                <w:sz w:val="13"/>
              </w:rPr>
              <w:t>00:00–00:45</w:t>
            </w:r>
          </w:p>
        </w:tc>
        <w:tc>
          <w:tcPr>
            <w:tcW w:type="dxa" w:w="2045"/>
            <w:vAlign w:val="top"/>
          </w:tcPr>
          <w:p>
            <w:pPr>
              <w:spacing w:after="0" w:before="0"/>
            </w:pPr>
            <w:r/>
            <w:r>
              <w:rPr>
                <w:rFonts w:ascii="Arial" w:hAnsi="Arial"/>
                <w:b w:val="0"/>
                <w:sz w:val="13"/>
              </w:rPr>
              <w:t>Ivo, 00:10:37: “What Felix leaves is a way of paying attention.” [VERIFY exact in/out]</w:t>
            </w:r>
          </w:p>
        </w:tc>
        <w:tc>
          <w:tcPr>
            <w:tcW w:type="dxa" w:w="2376"/>
            <w:vAlign w:val="top"/>
          </w:tcPr>
          <w:p>
            <w:pPr>
              <w:spacing w:after="0" w:before="0"/>
            </w:pPr>
            <w:r/>
            <w:r>
              <w:rPr>
                <w:rFonts w:ascii="Arial" w:hAnsi="Arial"/>
                <w:b w:val="0"/>
                <w:sz w:val="13"/>
              </w:rPr>
              <w:t>Black to restrained archive/stills of shared work; title only after first phrase.</w:t>
            </w:r>
          </w:p>
        </w:tc>
        <w:tc>
          <w:tcPr>
            <w:tcW w:type="dxa" w:w="2520"/>
            <w:vAlign w:val="top"/>
          </w:tcPr>
          <w:p>
            <w:pPr>
              <w:spacing w:after="0" w:before="0"/>
            </w:pPr>
            <w:r/>
            <w:r>
              <w:rPr>
                <w:rFonts w:ascii="Arial" w:hAnsi="Arial"/>
                <w:b w:val="0"/>
                <w:sz w:val="13"/>
              </w:rPr>
              <w:t>Room tone under opening; no music first 8 sec. L-cut into Mara.</w:t>
            </w:r>
          </w:p>
        </w:tc>
        <w:tc>
          <w:tcPr>
            <w:tcW w:type="dxa" w:w="2534"/>
            <w:vAlign w:val="top"/>
          </w:tcPr>
          <w:p>
            <w:pPr>
              <w:spacing w:after="0" w:before="0"/>
            </w:pPr>
            <w:r/>
            <w:r>
              <w:rPr>
                <w:rFonts w:ascii="Arial" w:hAnsi="Arial"/>
                <w:b w:val="0"/>
                <w:sz w:val="13"/>
              </w:rPr>
              <w:t>OPEN / establish central idea and a listening pace.</w:t>
            </w:r>
          </w:p>
        </w:tc>
      </w:tr>
      <w:tr>
        <w:trPr>
          <w:cantSplit/>
        </w:trPr>
        <w:tc>
          <w:tcPr>
            <w:tcW w:type="dxa" w:w="1037"/>
            <w:vAlign w:val="top"/>
          </w:tcPr>
          <w:p>
            <w:pPr>
              <w:spacing w:after="0" w:before="0"/>
            </w:pPr>
            <w:r/>
            <w:r>
              <w:rPr>
                <w:rFonts w:ascii="Arial" w:hAnsi="Arial"/>
                <w:b w:val="0"/>
                <w:sz w:val="13"/>
              </w:rPr>
              <w:t>00:45–02:05</w:t>
            </w:r>
          </w:p>
        </w:tc>
        <w:tc>
          <w:tcPr>
            <w:tcW w:type="dxa" w:w="2045"/>
            <w:vAlign w:val="top"/>
          </w:tcPr>
          <w:p>
            <w:pPr>
              <w:spacing w:after="0" w:before="0"/>
            </w:pPr>
            <w:r/>
            <w:r>
              <w:rPr>
                <w:rFonts w:ascii="Arial" w:hAnsi="Arial"/>
                <w:b w:val="0"/>
                <w:sz w:val="13"/>
              </w:rPr>
              <w:t>Mara, 00:06:18 “what we had not noticed yet”; 00:18:42 hard no/question [VERIFY context]</w:t>
            </w:r>
          </w:p>
        </w:tc>
        <w:tc>
          <w:tcPr>
            <w:tcW w:type="dxa" w:w="2376"/>
            <w:vAlign w:val="top"/>
          </w:tcPr>
          <w:p>
            <w:pPr>
              <w:spacing w:after="0" w:before="0"/>
            </w:pPr>
            <w:r/>
            <w:r>
              <w:rPr>
                <w:rFonts w:ascii="Arial" w:hAnsi="Arial"/>
                <w:b w:val="0"/>
                <w:sz w:val="13"/>
              </w:rPr>
              <w:t>Mara interview with sparse stills as evidence, not decoration.</w:t>
            </w:r>
          </w:p>
        </w:tc>
        <w:tc>
          <w:tcPr>
            <w:tcW w:type="dxa" w:w="2520"/>
            <w:vAlign w:val="top"/>
          </w:tcPr>
          <w:p>
            <w:pPr>
              <w:spacing w:after="0" w:before="0"/>
            </w:pPr>
            <w:r/>
            <w:r>
              <w:rPr>
                <w:rFonts w:ascii="Arial" w:hAnsi="Arial"/>
                <w:b w:val="0"/>
                <w:sz w:val="13"/>
              </w:rPr>
              <w:t>Natural voice; soft pulse enters after phrase. Question-word sound bridge to Nadia.</w:t>
            </w:r>
          </w:p>
        </w:tc>
        <w:tc>
          <w:tcPr>
            <w:tcW w:type="dxa" w:w="2534"/>
            <w:vAlign w:val="top"/>
          </w:tcPr>
          <w:p>
            <w:pPr>
              <w:spacing w:after="0" w:before="0"/>
            </w:pPr>
            <w:r/>
            <w:r>
              <w:rPr>
                <w:rFonts w:ascii="Arial" w:hAnsi="Arial"/>
                <w:b w:val="0"/>
                <w:sz w:val="13"/>
              </w:rPr>
              <w:t>SETUP / make attention an active working habit.</w:t>
            </w:r>
          </w:p>
        </w:tc>
      </w:tr>
      <w:tr>
        <w:trPr>
          <w:cantSplit/>
        </w:trPr>
        <w:tc>
          <w:tcPr>
            <w:tcW w:type="dxa" w:w="1037"/>
            <w:vAlign w:val="top"/>
          </w:tcPr>
          <w:p>
            <w:pPr>
              <w:spacing w:after="0" w:before="0"/>
            </w:pPr>
            <w:r/>
            <w:r>
              <w:rPr>
                <w:rFonts w:ascii="Arial" w:hAnsi="Arial"/>
                <w:b w:val="0"/>
                <w:sz w:val="13"/>
              </w:rPr>
              <w:t>02:05–03:25</w:t>
            </w:r>
          </w:p>
        </w:tc>
        <w:tc>
          <w:tcPr>
            <w:tcW w:type="dxa" w:w="2045"/>
            <w:vAlign w:val="top"/>
          </w:tcPr>
          <w:p>
            <w:pPr>
              <w:spacing w:after="0" w:before="0"/>
            </w:pPr>
            <w:r/>
            <w:r>
              <w:rPr>
                <w:rFonts w:ascii="Arial" w:hAnsi="Arial"/>
                <w:b w:val="0"/>
                <w:sz w:val="13"/>
              </w:rPr>
              <w:t>Nadia, 00:09:14 “ready to listen”; 00:39:11 “came back.”</w:t>
            </w:r>
          </w:p>
        </w:tc>
        <w:tc>
          <w:tcPr>
            <w:tcW w:type="dxa" w:w="2376"/>
            <w:vAlign w:val="top"/>
          </w:tcPr>
          <w:p>
            <w:pPr>
              <w:spacing w:after="0" w:before="0"/>
            </w:pPr>
            <w:r/>
            <w:r>
              <w:rPr>
                <w:rFonts w:ascii="Arial" w:hAnsi="Arial"/>
                <w:b w:val="0"/>
                <w:sz w:val="13"/>
              </w:rPr>
              <w:t>Nadia on-camera; archival/community images only where rights/context are confirmed.</w:t>
            </w:r>
          </w:p>
        </w:tc>
        <w:tc>
          <w:tcPr>
            <w:tcW w:type="dxa" w:w="2520"/>
            <w:vAlign w:val="top"/>
          </w:tcPr>
          <w:p>
            <w:pPr>
              <w:spacing w:after="0" w:before="0"/>
            </w:pPr>
            <w:r/>
            <w:r>
              <w:rPr>
                <w:rFonts w:ascii="Arial" w:hAnsi="Arial"/>
                <w:b w:val="0"/>
                <w:sz w:val="13"/>
              </w:rPr>
              <w:t>Music ducks fully for key lines. Cut on “back” to a 1-sec room-tone beat.</w:t>
            </w:r>
          </w:p>
        </w:tc>
        <w:tc>
          <w:tcPr>
            <w:tcW w:type="dxa" w:w="2534"/>
            <w:vAlign w:val="top"/>
          </w:tcPr>
          <w:p>
            <w:pPr>
              <w:spacing w:after="0" w:before="0"/>
            </w:pPr>
            <w:r/>
            <w:r>
              <w:rPr>
                <w:rFonts w:ascii="Arial" w:hAnsi="Arial"/>
                <w:b w:val="0"/>
                <w:sz w:val="13"/>
              </w:rPr>
              <w:t>DEVELOP / show the habit has consequences for others.</w:t>
            </w:r>
          </w:p>
        </w:tc>
      </w:tr>
      <w:tr>
        <w:trPr>
          <w:cantSplit/>
        </w:trPr>
        <w:tc>
          <w:tcPr>
            <w:tcW w:type="dxa" w:w="1037"/>
            <w:vAlign w:val="top"/>
          </w:tcPr>
          <w:p>
            <w:pPr>
              <w:spacing w:after="0" w:before="0"/>
            </w:pPr>
            <w:r/>
            <w:r>
              <w:rPr>
                <w:rFonts w:ascii="Arial" w:hAnsi="Arial"/>
                <w:b w:val="0"/>
                <w:sz w:val="13"/>
              </w:rPr>
              <w:t>03:25–04:35</w:t>
            </w:r>
          </w:p>
        </w:tc>
        <w:tc>
          <w:tcPr>
            <w:tcW w:type="dxa" w:w="2045"/>
            <w:vAlign w:val="top"/>
          </w:tcPr>
          <w:p>
            <w:pPr>
              <w:spacing w:after="0" w:before="0"/>
            </w:pPr>
            <w:r/>
            <w:r>
              <w:rPr>
                <w:rFonts w:ascii="Arial" w:hAnsi="Arial"/>
                <w:b w:val="0"/>
                <w:sz w:val="13"/>
              </w:rPr>
              <w:t>Leila, 00:12:02 “leaving the chair next to him empty”; 00:42:10 care not performance.</w:t>
            </w:r>
          </w:p>
        </w:tc>
        <w:tc>
          <w:tcPr>
            <w:tcW w:type="dxa" w:w="2376"/>
            <w:vAlign w:val="top"/>
          </w:tcPr>
          <w:p>
            <w:pPr>
              <w:spacing w:after="0" w:before="0"/>
            </w:pPr>
            <w:r/>
            <w:r>
              <w:rPr>
                <w:rFonts w:ascii="Arial" w:hAnsi="Arial"/>
                <w:b w:val="0"/>
                <w:sz w:val="13"/>
              </w:rPr>
              <w:t>Leila on-camera, then one held empty-workspace or meeting still if supplied; no illustrative reenactment.</w:t>
            </w:r>
          </w:p>
        </w:tc>
        <w:tc>
          <w:tcPr>
            <w:tcW w:type="dxa" w:w="2520"/>
            <w:vAlign w:val="top"/>
          </w:tcPr>
          <w:p>
            <w:pPr>
              <w:spacing w:after="0" w:before="0"/>
            </w:pPr>
            <w:r/>
            <w:r>
              <w:rPr>
                <w:rFonts w:ascii="Arial" w:hAnsi="Arial"/>
                <w:b w:val="0"/>
                <w:sz w:val="13"/>
              </w:rPr>
              <w:t>Reduced music; retain a natural pause. Match cut from room/seat to Evan.</w:t>
            </w:r>
          </w:p>
        </w:tc>
        <w:tc>
          <w:tcPr>
            <w:tcW w:type="dxa" w:w="2534"/>
            <w:vAlign w:val="top"/>
          </w:tcPr>
          <w:p>
            <w:pPr>
              <w:spacing w:after="0" w:before="0"/>
            </w:pPr>
            <w:r/>
            <w:r>
              <w:rPr>
                <w:rFonts w:ascii="Arial" w:hAnsi="Arial"/>
                <w:b w:val="0"/>
                <w:sz w:val="13"/>
              </w:rPr>
              <w:t>DEVELOP / give the idea a human image; deliberate breath.</w:t>
            </w:r>
          </w:p>
        </w:tc>
      </w:tr>
      <w:tr>
        <w:trPr>
          <w:cantSplit/>
        </w:trPr>
        <w:tc>
          <w:tcPr>
            <w:tcW w:type="dxa" w:w="1037"/>
            <w:vAlign w:val="top"/>
          </w:tcPr>
          <w:p>
            <w:pPr>
              <w:spacing w:after="0" w:before="0"/>
            </w:pPr>
            <w:r/>
            <w:r>
              <w:rPr>
                <w:rFonts w:ascii="Arial" w:hAnsi="Arial"/>
                <w:b w:val="0"/>
                <w:sz w:val="13"/>
              </w:rPr>
              <w:t>04:35–05:50</w:t>
            </w:r>
          </w:p>
        </w:tc>
        <w:tc>
          <w:tcPr>
            <w:tcW w:type="dxa" w:w="2045"/>
            <w:vAlign w:val="top"/>
          </w:tcPr>
          <w:p>
            <w:pPr>
              <w:spacing w:after="0" w:before="0"/>
            </w:pPr>
            <w:r/>
            <w:r>
              <w:rPr>
                <w:rFonts w:ascii="Arial" w:hAnsi="Arial"/>
                <w:b w:val="0"/>
                <w:sz w:val="13"/>
              </w:rPr>
              <w:t>Tomas reserve, 00:04:55 uncertainty; 00:28:54 useful slowing [VERIFY selects]</w:t>
            </w:r>
          </w:p>
        </w:tc>
        <w:tc>
          <w:tcPr>
            <w:tcW w:type="dxa" w:w="2376"/>
            <w:vAlign w:val="top"/>
          </w:tcPr>
          <w:p>
            <w:pPr>
              <w:spacing w:after="0" w:before="0"/>
            </w:pPr>
            <w:r/>
            <w:r>
              <w:rPr>
                <w:rFonts w:ascii="Arial" w:hAnsi="Arial"/>
                <w:b w:val="0"/>
                <w:sz w:val="13"/>
              </w:rPr>
              <w:t>Tomas interview / documents or neutral archive detail.</w:t>
            </w:r>
          </w:p>
        </w:tc>
        <w:tc>
          <w:tcPr>
            <w:tcW w:type="dxa" w:w="2520"/>
            <w:vAlign w:val="top"/>
          </w:tcPr>
          <w:p>
            <w:pPr>
              <w:spacing w:after="0" w:before="0"/>
            </w:pPr>
            <w:r/>
            <w:r>
              <w:rPr>
                <w:rFonts w:ascii="Arial" w:hAnsi="Arial"/>
                <w:b w:val="0"/>
                <w:sz w:val="13"/>
              </w:rPr>
              <w:t>Measured rhythm; carry the word “question” as an L-cut into Saira.</w:t>
            </w:r>
          </w:p>
        </w:tc>
        <w:tc>
          <w:tcPr>
            <w:tcW w:type="dxa" w:w="2534"/>
            <w:vAlign w:val="top"/>
          </w:tcPr>
          <w:p>
            <w:pPr>
              <w:spacing w:after="0" w:before="0"/>
            </w:pPr>
            <w:r/>
            <w:r>
              <w:rPr>
                <w:rFonts w:ascii="Arial" w:hAnsi="Arial"/>
                <w:b w:val="0"/>
                <w:sz w:val="13"/>
              </w:rPr>
              <w:t>DEVELOP / show attention under pressure; replaceable reserve interval.</w:t>
            </w:r>
          </w:p>
        </w:tc>
      </w:tr>
      <w:tr>
        <w:trPr>
          <w:cantSplit/>
        </w:trPr>
        <w:tc>
          <w:tcPr>
            <w:tcW w:type="dxa" w:w="1037"/>
            <w:vAlign w:val="top"/>
          </w:tcPr>
          <w:p>
            <w:pPr>
              <w:spacing w:after="0" w:before="0"/>
            </w:pPr>
            <w:r/>
            <w:r>
              <w:rPr>
                <w:rFonts w:ascii="Arial" w:hAnsi="Arial"/>
                <w:b w:val="0"/>
                <w:sz w:val="13"/>
              </w:rPr>
              <w:t>05:50–07:05</w:t>
            </w:r>
          </w:p>
        </w:tc>
        <w:tc>
          <w:tcPr>
            <w:tcW w:type="dxa" w:w="2045"/>
            <w:vAlign w:val="top"/>
          </w:tcPr>
          <w:p>
            <w:pPr>
              <w:spacing w:after="0" w:before="0"/>
            </w:pPr>
            <w:r/>
            <w:r>
              <w:rPr>
                <w:rFonts w:ascii="Arial" w:hAnsi="Arial"/>
                <w:b w:val="0"/>
                <w:sz w:val="13"/>
              </w:rPr>
              <w:t>Dr. Saira Bell reserve, 00:11:12 long view; 00:40:55 shared responsibility.</w:t>
            </w:r>
          </w:p>
        </w:tc>
        <w:tc>
          <w:tcPr>
            <w:tcW w:type="dxa" w:w="2376"/>
            <w:vAlign w:val="top"/>
          </w:tcPr>
          <w:p>
            <w:pPr>
              <w:spacing w:after="0" w:before="0"/>
            </w:pPr>
            <w:r/>
            <w:r>
              <w:rPr>
                <w:rFonts w:ascii="Arial" w:hAnsi="Arial"/>
                <w:b w:val="0"/>
                <w:sz w:val="13"/>
              </w:rPr>
              <w:t>Saira on-camera; restrained board/collective archive, no award imagery.</w:t>
            </w:r>
          </w:p>
        </w:tc>
        <w:tc>
          <w:tcPr>
            <w:tcW w:type="dxa" w:w="2520"/>
            <w:vAlign w:val="top"/>
          </w:tcPr>
          <w:p>
            <w:pPr>
              <w:spacing w:after="0" w:before="0"/>
            </w:pPr>
            <w:r/>
            <w:r>
              <w:rPr>
                <w:rFonts w:ascii="Arial" w:hAnsi="Arial"/>
                <w:b w:val="0"/>
                <w:sz w:val="13"/>
              </w:rPr>
              <w:t>Low musical bed; hard cut to Evan after a clean sentence ending.</w:t>
            </w:r>
          </w:p>
        </w:tc>
        <w:tc>
          <w:tcPr>
            <w:tcW w:type="dxa" w:w="2534"/>
            <w:vAlign w:val="top"/>
          </w:tcPr>
          <w:p>
            <w:pPr>
              <w:spacing w:after="0" w:before="0"/>
            </w:pPr>
            <w:r/>
            <w:r>
              <w:rPr>
                <w:rFonts w:ascii="Arial" w:hAnsi="Arial"/>
                <w:b w:val="0"/>
                <w:sz w:val="13"/>
              </w:rPr>
              <w:t>DEVELOP / widen from individual care to collective responsibility; replaceable reserve interval.</w:t>
            </w:r>
          </w:p>
        </w:tc>
      </w:tr>
      <w:tr>
        <w:trPr>
          <w:cantSplit/>
        </w:trPr>
        <w:tc>
          <w:tcPr>
            <w:tcW w:type="dxa" w:w="1037"/>
            <w:vAlign w:val="top"/>
          </w:tcPr>
          <w:p>
            <w:pPr>
              <w:spacing w:after="0" w:before="0"/>
            </w:pPr>
            <w:r/>
            <w:r>
              <w:rPr>
                <w:rFonts w:ascii="Arial" w:hAnsi="Arial"/>
                <w:b w:val="0"/>
                <w:sz w:val="13"/>
              </w:rPr>
              <w:t>07:05–08:35</w:t>
            </w:r>
          </w:p>
        </w:tc>
        <w:tc>
          <w:tcPr>
            <w:tcW w:type="dxa" w:w="2045"/>
            <w:vAlign w:val="top"/>
          </w:tcPr>
          <w:p>
            <w:pPr>
              <w:spacing w:after="0" w:before="0"/>
            </w:pPr>
            <w:r/>
            <w:r>
              <w:rPr>
                <w:rFonts w:ascii="Arial" w:hAnsi="Arial"/>
                <w:b w:val="0"/>
                <w:sz w:val="13"/>
              </w:rPr>
              <w:t>Evan, 00:07:29 “a question, not a ladder”; 00:35:06 “changed how I work.” [VERIFY exact wording]</w:t>
            </w:r>
          </w:p>
        </w:tc>
        <w:tc>
          <w:tcPr>
            <w:tcW w:type="dxa" w:w="2376"/>
            <w:vAlign w:val="top"/>
          </w:tcPr>
          <w:p>
            <w:pPr>
              <w:spacing w:after="0" w:before="0"/>
            </w:pPr>
            <w:r/>
            <w:r>
              <w:rPr>
                <w:rFonts w:ascii="Arial" w:hAnsi="Arial"/>
                <w:b w:val="0"/>
                <w:sz w:val="13"/>
              </w:rPr>
              <w:t>Evan on-camera, then present-tense images of people working together if cleared.</w:t>
            </w:r>
          </w:p>
        </w:tc>
        <w:tc>
          <w:tcPr>
            <w:tcW w:type="dxa" w:w="2520"/>
            <w:vAlign w:val="top"/>
          </w:tcPr>
          <w:p>
            <w:pPr>
              <w:spacing w:after="0" w:before="0"/>
            </w:pPr>
            <w:r/>
            <w:r>
              <w:rPr>
                <w:rFonts w:ascii="Arial" w:hAnsi="Arial"/>
                <w:b w:val="0"/>
                <w:sz w:val="13"/>
              </w:rPr>
              <w:t>Music lifts slightly only after first sentence; leave 2-sec natural pause before second line.</w:t>
            </w:r>
          </w:p>
        </w:tc>
        <w:tc>
          <w:tcPr>
            <w:tcW w:type="dxa" w:w="2534"/>
            <w:vAlign w:val="top"/>
          </w:tcPr>
          <w:p>
            <w:pPr>
              <w:spacing w:after="0" w:before="0"/>
            </w:pPr>
            <w:r/>
            <w:r>
              <w:rPr>
                <w:rFonts w:ascii="Arial" w:hAnsi="Arial"/>
                <w:b w:val="0"/>
                <w:sz w:val="13"/>
              </w:rPr>
              <w:t>TURN / prove the practice now lives in someone else, not only in memory.</w:t>
            </w:r>
          </w:p>
        </w:tc>
      </w:tr>
      <w:tr>
        <w:trPr>
          <w:cantSplit/>
        </w:trPr>
        <w:tc>
          <w:tcPr>
            <w:tcW w:type="dxa" w:w="1037"/>
            <w:vAlign w:val="top"/>
          </w:tcPr>
          <w:p>
            <w:pPr>
              <w:spacing w:after="0" w:before="0"/>
            </w:pPr>
            <w:r/>
            <w:r>
              <w:rPr>
                <w:rFonts w:ascii="Arial" w:hAnsi="Arial"/>
                <w:b w:val="0"/>
                <w:sz w:val="13"/>
              </w:rPr>
              <w:t>08:35–09:50</w:t>
            </w:r>
          </w:p>
        </w:tc>
        <w:tc>
          <w:tcPr>
            <w:tcW w:type="dxa" w:w="2045"/>
            <w:vAlign w:val="top"/>
          </w:tcPr>
          <w:p>
            <w:pPr>
              <w:spacing w:after="0" w:before="0"/>
            </w:pPr>
            <w:r/>
            <w:r>
              <w:rPr>
                <w:rFonts w:ascii="Arial" w:hAnsi="Arial"/>
                <w:b w:val="0"/>
                <w:sz w:val="13"/>
              </w:rPr>
              <w:t>Mara 00:44:26 people doing the work; Nadia notebook note is paraphrase only — do not quote.</w:t>
            </w:r>
          </w:p>
        </w:tc>
        <w:tc>
          <w:tcPr>
            <w:tcW w:type="dxa" w:w="2376"/>
            <w:vAlign w:val="top"/>
          </w:tcPr>
          <w:p>
            <w:pPr>
              <w:spacing w:after="0" w:before="0"/>
            </w:pPr>
            <w:r/>
            <w:r>
              <w:rPr>
                <w:rFonts w:ascii="Arial" w:hAnsi="Arial"/>
                <w:b w:val="0"/>
                <w:sz w:val="13"/>
              </w:rPr>
              <w:t>Intercut Mara/Nadia reaction shots and named archival stills; captions identify source year only when verified.</w:t>
            </w:r>
          </w:p>
        </w:tc>
        <w:tc>
          <w:tcPr>
            <w:tcW w:type="dxa" w:w="2520"/>
            <w:vAlign w:val="top"/>
          </w:tcPr>
          <w:p>
            <w:pPr>
              <w:spacing w:after="0" w:before="0"/>
            </w:pPr>
            <w:r/>
            <w:r>
              <w:rPr>
                <w:rFonts w:ascii="Arial" w:hAnsi="Arial"/>
                <w:b w:val="0"/>
                <w:sz w:val="13"/>
              </w:rPr>
              <w:t>Overlapping room tone, not overlapping dialogue. Dissolve only between stills; cut voices cleanly.</w:t>
            </w:r>
          </w:p>
        </w:tc>
        <w:tc>
          <w:tcPr>
            <w:tcW w:type="dxa" w:w="2534"/>
            <w:vAlign w:val="top"/>
          </w:tcPr>
          <w:p>
            <w:pPr>
              <w:spacing w:after="0" w:before="0"/>
            </w:pPr>
            <w:r/>
            <w:r>
              <w:rPr>
                <w:rFonts w:ascii="Arial" w:hAnsi="Arial"/>
                <w:b w:val="0"/>
                <w:sz w:val="13"/>
              </w:rPr>
              <w:t>DEVELOP AFTER TURN / accumulate evidence without raising sentimentality.</w:t>
            </w:r>
          </w:p>
        </w:tc>
      </w:tr>
      <w:tr>
        <w:trPr>
          <w:cantSplit/>
        </w:trPr>
        <w:tc>
          <w:tcPr>
            <w:tcW w:type="dxa" w:w="1037"/>
            <w:vAlign w:val="top"/>
          </w:tcPr>
          <w:p>
            <w:pPr>
              <w:spacing w:after="0" w:before="0"/>
            </w:pPr>
            <w:r/>
            <w:r>
              <w:rPr>
                <w:rFonts w:ascii="Arial" w:hAnsi="Arial"/>
                <w:b w:val="0"/>
                <w:sz w:val="13"/>
              </w:rPr>
              <w:t>09:50–10:50</w:t>
            </w:r>
          </w:p>
        </w:tc>
        <w:tc>
          <w:tcPr>
            <w:tcW w:type="dxa" w:w="2045"/>
            <w:vAlign w:val="top"/>
          </w:tcPr>
          <w:p>
            <w:pPr>
              <w:spacing w:after="0" w:before="0"/>
            </w:pPr>
            <w:r/>
            <w:r>
              <w:rPr>
                <w:rFonts w:ascii="Arial" w:hAnsi="Arial"/>
                <w:b w:val="0"/>
                <w:sz w:val="13"/>
              </w:rPr>
              <w:t>Cormac reserve 00:54:39 “not to make him uncomfortable with gratitude.” [VERIFY context] OR non-verbal room-tone passage if unsuitable.</w:t>
            </w:r>
          </w:p>
        </w:tc>
        <w:tc>
          <w:tcPr>
            <w:tcW w:type="dxa" w:w="2376"/>
            <w:vAlign w:val="top"/>
          </w:tcPr>
          <w:p>
            <w:pPr>
              <w:spacing w:after="0" w:before="0"/>
            </w:pPr>
            <w:r/>
            <w:r>
              <w:rPr>
                <w:rFonts w:ascii="Arial" w:hAnsi="Arial"/>
                <w:b w:val="0"/>
                <w:sz w:val="13"/>
              </w:rPr>
              <w:t>If used: Cormac on-camera. If held: still sequence with contributor names prepared for end card, no dialogue.</w:t>
            </w:r>
          </w:p>
        </w:tc>
        <w:tc>
          <w:tcPr>
            <w:tcW w:type="dxa" w:w="2520"/>
            <w:vAlign w:val="top"/>
          </w:tcPr>
          <w:p>
            <w:pPr>
              <w:spacing w:after="0" w:before="0"/>
            </w:pPr>
            <w:r/>
            <w:r>
              <w:rPr>
                <w:rFonts w:ascii="Arial" w:hAnsi="Arial"/>
                <w:b w:val="0"/>
                <w:sz w:val="13"/>
              </w:rPr>
              <w:t>Keep speech natural; otherwise 10 sec near-silence then warm music return. L-cut to Ivo.</w:t>
            </w:r>
          </w:p>
        </w:tc>
        <w:tc>
          <w:tcPr>
            <w:tcW w:type="dxa" w:w="2534"/>
            <w:vAlign w:val="top"/>
          </w:tcPr>
          <w:p>
            <w:pPr>
              <w:spacing w:after="0" w:before="0"/>
            </w:pPr>
            <w:r/>
            <w:r>
              <w:rPr>
                <w:rFonts w:ascii="Arial" w:hAnsi="Arial"/>
                <w:b w:val="0"/>
                <w:sz w:val="13"/>
              </w:rPr>
              <w:t>BREATH / acknowledge the room’s care without making Felix the object of an ambush.</w:t>
            </w:r>
          </w:p>
        </w:tc>
      </w:tr>
      <w:tr>
        <w:trPr>
          <w:cantSplit/>
        </w:trPr>
        <w:tc>
          <w:tcPr>
            <w:tcW w:type="dxa" w:w="1037"/>
            <w:vAlign w:val="top"/>
          </w:tcPr>
          <w:p>
            <w:pPr>
              <w:spacing w:after="0" w:before="0"/>
            </w:pPr>
            <w:r/>
            <w:r>
              <w:rPr>
                <w:rFonts w:ascii="Arial" w:hAnsi="Arial"/>
                <w:b w:val="0"/>
                <w:sz w:val="13"/>
              </w:rPr>
              <w:t>10:50–12:00</w:t>
            </w:r>
          </w:p>
        </w:tc>
        <w:tc>
          <w:tcPr>
            <w:tcW w:type="dxa" w:w="2045"/>
            <w:vAlign w:val="top"/>
          </w:tcPr>
          <w:p>
            <w:pPr>
              <w:spacing w:after="0" w:before="0"/>
            </w:pPr>
            <w:r/>
            <w:r>
              <w:rPr>
                <w:rFonts w:ascii="Arial" w:hAnsi="Arial"/>
                <w:b w:val="0"/>
                <w:sz w:val="13"/>
              </w:rPr>
              <w:t>Ivo, 00:38:08 “notice who is not yet in the room.” [VERIFY exact in/out]</w:t>
            </w:r>
          </w:p>
        </w:tc>
        <w:tc>
          <w:tcPr>
            <w:tcW w:type="dxa" w:w="2376"/>
            <w:vAlign w:val="top"/>
          </w:tcPr>
          <w:p>
            <w:pPr>
              <w:spacing w:after="0" w:before="0"/>
            </w:pPr>
            <w:r/>
            <w:r>
              <w:rPr>
                <w:rFonts w:ascii="Arial" w:hAnsi="Arial"/>
                <w:b w:val="0"/>
                <w:sz w:val="13"/>
              </w:rPr>
              <w:t>Ivo briefly, then a final still/collective image; title resolves to “A Way of Paying Attention.”</w:t>
            </w:r>
          </w:p>
        </w:tc>
        <w:tc>
          <w:tcPr>
            <w:tcW w:type="dxa" w:w="2520"/>
            <w:vAlign w:val="top"/>
          </w:tcPr>
          <w:p>
            <w:pPr>
              <w:spacing w:after="0" w:before="0"/>
            </w:pPr>
            <w:r/>
            <w:r>
              <w:rPr>
                <w:rFonts w:ascii="Arial" w:hAnsi="Arial"/>
                <w:b w:val="0"/>
                <w:sz w:val="13"/>
              </w:rPr>
              <w:t>Music remains below words; final 4 sec are room tone / held image. End clean at 12:00.</w:t>
            </w:r>
          </w:p>
        </w:tc>
        <w:tc>
          <w:tcPr>
            <w:tcW w:type="dxa" w:w="2534"/>
            <w:vAlign w:val="top"/>
          </w:tcPr>
          <w:p>
            <w:pPr>
              <w:spacing w:after="0" w:before="0"/>
            </w:pPr>
            <w:r/>
            <w:r>
              <w:rPr>
                <w:rFonts w:ascii="Arial" w:hAnsi="Arial"/>
                <w:b w:val="0"/>
                <w:sz w:val="13"/>
              </w:rPr>
              <w:t>CLOSE / echo and resolve central idea as an invitation to continue the practice.</w:t>
            </w:r>
          </w:p>
        </w:tc>
      </w:tr>
    </w:tbl>
    <w:p>
      <w:pPr>
        <w:spacing w:after="40"/>
      </w:pPr>
      <w:r>
        <w:rPr>
          <w:b/>
          <w:color w:val="144C5C"/>
          <w:sz w:val="17"/>
        </w:rPr>
        <w:t xml:space="preserve">Selection legend: </w:t>
      </w:r>
      <w:r>
        <w:rPr>
          <w:sz w:val="17"/>
        </w:rPr>
        <w:t>Quoted fragments above are verbatim excerpts from the supplied interview package but all [VERIFY] entries require playback, exact in/out, and surrounding-context confirmation before use. Paraphrases are not dialogue. Each reserve beat has a topic-matched alternate so tightening does not disturb the question-led spine.</w:t>
      </w:r>
    </w:p>
    <w:p>
      <w:pPr>
        <w:spacing w:after="20"/>
      </w:pPr>
      <w:r>
        <w:rPr>
          <w:rFonts w:ascii="Arial" w:hAnsi="Arial"/>
          <w:b/>
          <w:color w:val="144C5C"/>
          <w:sz w:val="15"/>
        </w:rPr>
        <w:t>PICTURE, SOUND AND PUBLIC-WEB LANGUAGE</w:t>
      </w:r>
    </w:p>
    <w:p>
      <w:r>
        <w:t>Use archival material and photographs as evidence of shared work, memory and a pause between voices, never as a nostalgia montage. A single sober typeface; lower-thirds appear once on first substantive appearance (name / relationship), then names repeat only on return after a long absence. Captions: deliver edited, speaker-identified captions/subtitles for the public web version, including meaningful room sound; check spelling and timing against the locked dialogue. Music is spare, non-lyrical and always ducked beneath speech. Preserve room tone, natural pauses and a few imperfect breaths where they carry thought; remove overlap, hesitation or repetition only when the meaning and speaker’s character are unchanged.</w:t>
      </w:r>
    </w:p>
    <w:p>
      <w:pPr>
        <w:spacing w:after="40"/>
      </w:pPr>
      <w:r>
        <w:rPr>
          <w:b/>
          <w:color w:val="144C5C"/>
          <w:sz w:val="17"/>
        </w:rPr>
        <w:t xml:space="preserve">Acknowledgement / end card: </w:t>
      </w:r>
      <w:r>
        <w:rPr>
          <w:sz w:val="17"/>
        </w:rPr>
        <w:t>Within the 12:00 core, the final image may carry “With thanks to the contributors to this tribute” in its last four seconds. A separate contributor-name card may hold for 6–8 seconds after 12:00; it is optional, outside the core runtime, and not a substitute for a coherent edit.</w:t>
      </w:r>
    </w:p>
    <w:p>
      <w:pPr>
        <w:spacing w:after="20"/>
      </w:pPr>
      <w:r>
        <w:rPr>
          <w:rFonts w:ascii="Arial" w:hAnsi="Arial"/>
          <w:b/>
          <w:color w:val="144C5C"/>
          <w:sz w:val="15"/>
        </w:rPr>
        <w:t>CORMAC’S PROMISE AND SELECTION FALLBACK</w:t>
      </w:r>
    </w:p>
    <w:p>
      <w:r>
        <w:t>Cormac Macaulay’s promise that every interviewee will appear must be handled candidly. Before assembly, we can guarantee that each interview is logged, considered against the organising question, and acknowledged by name in the optional post-runtime card; we cannot responsibly guarantee a substantive on-screen clip from every person without weakening pace, context and the twelve-minute structure. A brief appearance can be planned where it serves the film, but inclusion remains subject to a coherent first assembly and source checks.</w:t>
      </w:r>
    </w:p>
    <w:p>
      <w:r>
        <w:t>The short preparation window and nine hours of interviews rule out a full transcript-and-paper edit. Build a rapid thematic log: speaker, recording timecode, 8–20 word topic/near-verbatim cue, function (listen / make room / uncertainty / transmission), confidence, and VERIFY flag. Pull only 2–3 candidates per essential voice plus one reserve; make a string-out from locators, not guessed text. Before picture lock, replay every selected in/out with adjacent context; verify names, titles, wording, implied claims, archive provenance/permissions, Ruth’s family-context approval, Ivo’s diagnosis-context approval, contributor acknowledgement and caption accuracy. Board uncertainty: this treatment locates likely material but cannot certify final rhythm, rights or exact wording until that check.</w:t>
      </w:r>
    </w:p>
    <w:p>
      <w:pPr>
        <w:spacing w:after="20"/>
      </w:pPr>
      <w:r>
        <w:rPr>
          <w:rFonts w:ascii="Arial" w:hAnsi="Arial"/>
          <w:b/>
          <w:color w:val="144C5C"/>
          <w:sz w:val="15"/>
        </w:rPr>
        <w:t>APPROVAL DECISION</w:t>
      </w:r>
    </w:p>
    <w:p>
      <w:r>
        <w:t>Main tradeoff: breadth of individual appearances versus a coherent twelve-minute film with Felix’s dignity and the central idea intact. The board is asked to approve the single recommendation: the question-led “A Way of Paying Attention” structure, essential-voice spine, context boundary, and optional post-runtime contributor-name hold. Changing this structure late would require rebalancing the timed map, displacing verified selections, reopening contributor expectations and repeating context/rights checks; it risks a longer, less legible film. Approve the question-led twelve-minute structure and optional post-runtime acknowledgement.</w:t>
      </w:r>
    </w:p>
    <w:sectPr w:rsidR="00FC693F" w:rsidRPr="0006063C" w:rsidSect="00034616">
      <w:footerReference w:type="default" r:id="rId9"/>
      <w:pgSz w:w="12240" w:h="15840"/>
      <w:pgMar w:top="835"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6E6E"/>
        <w:sz w:val="14"/>
      </w:rPr>
      <w:t>Kestrel Collective | Board treatment | proposed core runtime: 12:00 | 20 Aug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rial" w:hAnsi="Arial"/>
      <w:b/>
      <w:bCs/>
      <w:color w:val="144C5C"/>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44C5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40"/>
      <w:contextualSpacing/>
    </w:pPr>
    <w:rPr>
      <w:rFonts w:asciiTheme="majorHAnsi" w:eastAsiaTheme="majorEastAsia" w:hAnsiTheme="majorHAnsi" w:cstheme="majorBidi" w:ascii="Arial" w:hAnsi="Arial"/>
      <w:color w:val="1E2D3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