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修订NHANES复杂抽样技能并完成成人血压离线复现</w:t>
      </w:r>
    </w:p>
    <w:p>
      <w:pPr>
        <w:pStyle w:val="Heading1"/>
      </w:pPr>
      <w:r>
        <w:t>委托与授权时点</w:t>
      </w:r>
    </w:p>
    <w:p>
      <w:r>
        <w:t>本委托及内部稿件为原创虚构分析练习。你是研究团队的分析工程师，需修订失效的血压分析技能并完成真实公开数据的离线复现。资料快照截至2026-10-21，不能声称2018年已知目前教程。只分析NHANES 2017-2018传统BPX_J，不混入BPXO_J或疫情前3.2年文件。</w:t>
      </w:r>
    </w:p>
    <w:p>
      <w:r>
        <w:t>内部事件均为虚构：V1草稿2026-10-21 08:00 UTC由助理提交；V2于09:00 UTC由方法负责人批准，12:00 UTC交付。09:30 UTC收到未批准V3，提议并入2015-2016且用收缩压130定义患病率。V2为唯一授权口径，V3保留为后续变更请求，不执行。</w:t>
      </w:r>
    </w:p>
    <w:p>
      <w:pPr>
        <w:pStyle w:val="Heading1"/>
      </w:pPr>
      <w:r>
        <w:t>V2口径</w:t>
      </w:r>
    </w:p>
    <w:p>
      <w:r>
        <w:t>年龄RIDAGEYR&gt;=20；每人BPXSY1/2/3正值且非缺失的算术均值，至少一次，第四次不用于本项目。六域all-20plus、male-20plus、female-20plus、age-20-39、age-40-59、age-60plus。性别按字典1/2编码，不额外推断性别身份。RIDAGEYR80为80岁以上顶码。</w:t>
      </w:r>
    </w:p>
    <w:p>
      <w:r>
        <w:t>WTMEC2YR为权重；保留完整正权重MEC设计，在其中做域分析。SDMVSTRA及层内SDMVPSU；Taylor线性化、WR方差和设计自由度的双侧95% t区间。无结局插补或额外非应答调权；报告有效n、成人域n、缺失n、权重和、均值、SE、上下限及df。报告观察到有效测量者的粗均值，不作年龄标化、因果推断、诊断或患病率。</w:t>
      </w:r>
    </w:p>
    <w:p>
      <w:pPr>
        <w:pStyle w:val="Heading1"/>
      </w:pPr>
      <w:r>
        <w:t>实际交付与复现</w:t>
      </w:r>
    </w:p>
    <w:p>
      <w:r>
        <w:t>交SKILL.md、analyze.py、run.json、estimates.xlsx、methods.docx。技能需有效YAML名称/描述、适用边界、相对脚本链接、运行命令、依赖、关键决策和交接检查。可重写坏稿并用等价成熟survey库；不要求逐字复制任何参考答案。代码需从输入重新计算，不硬编码结果或联网。</w:t>
      </w:r>
    </w:p>
    <w:p>
      <w:r>
        <w:t>run.json记录周期、方法、源文件SHA-256、实际依赖版本、设计样本数和六域结果；工作簿Estimates按domain、n_observed、n_adult_domain、n_missing、weight_sum、mean_mmHg、se_mmHg、lower95_mmHg、upper95_mmHg、design_df排列，Scope解释口径。方法Word说明稿件错误、批准链、来源定位、实际执行及独立复算和局限。数值容差1e-7 mmHg、权重和1e-4；允许表格布局、代码实现和叙述等价。</w:t>
      </w:r>
    </w:p>
    <w:p>
      <w:r>
        <w:t>检查XPT零值解码、SEQN唯一/外键、权重与体检状态一致、层和PSU完整、JSON与Excel一致。冻结文件应有9254人口学记录和8704血压记录。不要把这些计数强塞到变更后的数据。保留实际重跑日志；输入只读、输出只写工作区，不全局安装技能，不向外部发送或发布。公开数据条款仍需权利审核，本题不授予再分发许可。</w:t>
      </w:r>
    </w:p>
    <w:sectPr w:rsidR="00FC693F" w:rsidRPr="0006063C" w:rsidSect="00034616">
      <w:footerReference w:type="default" r:id="rId9"/>
      <w:pgSz w:w="11906" w:h="16838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第 </w:t>
    </w:r>
    <w:fldSimple w:instr="PAGE"/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/>
      <w:spacing w:after="100" w:line="264" w:lineRule="auto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55B53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55B5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255B5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2000-01-01T00:00:00Z</dcterms:created>
  <dcterms:modified xsi:type="dcterms:W3CDTF">2000-01-01T00:00:00Z</dcterms:modified>
  <cp:category/>
</cp:coreProperties>
</file>