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以双分支依赖重建气象站缺测、质量旗标与月报交接</w:t>
      </w:r>
    </w:p>
    <w:p>
      <w:pPr>
        <w:pStyle w:val="Heading1"/>
      </w:pPr>
      <w:r>
        <w:t>原创委托</w:t>
      </w:r>
    </w:p>
    <w:p>
      <w:r>
        <w:t>你是虚构NorthBridge研究团队的数据工程师，为气象观测质量交接建立可复现报告。使用真实NOAA GHCNd站AG000060390的固定本地数据和站点目录，不联网刷新。1989是历史质量审计窗口，2024是报表窗口；不得据两段窗口推导升温趋势、预测或因果结论。目录只用于本快照站点身份，不证明历史站址未变。</w:t>
      </w:r>
    </w:p>
    <w:p>
      <w:r>
        <w:t>演练交付时点2026-10-21 12:00 UTC。旧QC-2023.1方案为80%覆盖；主管2026-10-20 16:00 UTC批准QC-2024.2为90%。17:00发送的QC-2025.1草案要求95%且缺测补零，未经批准。执行workflow.json唯一批准政策，90%是内部筛选规则，不是NOAA标准。</w:t>
      </w:r>
    </w:p>
    <w:p>
      <w:pPr>
        <w:pStyle w:val="Heading1"/>
      </w:pPr>
      <w:r>
        <w:t>解析与质量口径</w:t>
      </w:r>
    </w:p>
    <w:p>
      <w:r>
        <w:t>逐日输出1989和2024所有真实日历日期×TMAX/TMIN/PRCP/TAVG；保留原值、MFLAG/QFLAG/SFLAG、是否有原始月记录。排除不存在的月末占位日，2024含2月29日。原缺测-9999及缺失整月记录均不填零；所有非空QFLAG在本项目剔除，MFLAG/SFLAG保留但不等同质量拒绝。温度转摄氏度、降水转毫米；保留观测零值。</w:t>
      </w:r>
    </w:p>
    <w:p>
      <w:r>
        <w:t>quality.json逐年/要素列calendar_days、usable、missing、rejected、absent_month_days及daily文件哈希，三类状态不重叠且总数守恒。station.json从真实站目录精确匹配ID，列名称/经纬度/海拔及目录哈希。TAVG不是TAXN，也不允许用TMAX/TMIN补算；说明来源S的2400UTC日界。</w:t>
      </w:r>
    </w:p>
    <w:p>
      <w:r>
        <w:t>monthly.csv有两年×12月×4要素共96行，含年/月/要素/expected_days/usable/coverage/observed_statistic/metric/status/units。coverage=usable/真实月天数；至少90%才填metric，低于90%保留空值并标insufficient_coverage。温度用可用日均值，PRCP用可用日观测和，均不插补。observed_statistic可保留诊断值，但不许把部分观测降水和称为完整月总量或年度总量。</w:t>
      </w:r>
    </w:p>
    <w:p>
      <w:pPr>
        <w:pStyle w:val="Heading1"/>
      </w:pPr>
      <w:r>
        <w:t>实际依赖工作流</w:t>
      </w:r>
    </w:p>
    <w:p>
      <w:r>
        <w:t>环境输入有workflow.py，它提供真实文件版本依赖接口，不能仅在交接文中列顺序。ingest产daily.csv和analysis.py；quality产quality.json，station产station.json，两个分支都依赖ingest；aggregate依赖两个分支，产monthly.csv；finalize依赖aggregate，产handoff.xlsx。quality与station顺序不限。每阶段实际产物写好后调用seal，缺上游或哈希失效应阻止下游；修订后重算相应分支，不能手改状态为成功。</w:t>
      </w:r>
    </w:p>
    <w:p>
      <w:r>
        <w:t>调用示例：python /app/input_files/workflow.py seal --config /app/input_files/workflow.json --inputs /app/input_files --output /app/output --stage ingest；检查用同参inspect。也可从Python载入同一模块调用seal。每个阶段绑定真实文件与配置哈希；workflow-state.json不是不可伪造执行证明，实际命令/返回仍须留存。不要修改源文件、批准配置或工作流工具。</w:t>
      </w:r>
    </w:p>
    <w:p>
      <w:pPr>
        <w:pStyle w:val="Heading1"/>
      </w:pPr>
      <w:r>
        <w:t>交付与边界</w:t>
      </w:r>
    </w:p>
    <w:p>
      <w:r>
        <w:t>交/app/output/analysis.py、daily.csv、quality.json、station.json、monthly.csv、handoff.xlsx、workflow-state.json。analysis.py接受--inputs和--output，可选--station-first改变两个分支顺序；实际执行重算，不能复制已备好的结果。Python环境含pandas2.3.3/openpyxl3.1.5；office_tools.py是通用排版工具，可用或等价实现。</w:t>
      </w:r>
    </w:p>
    <w:p>
      <w:r>
        <w:t>handoff.xlsx含八组质量核对、2024各月TAVG和PRCP的可用天数/有条件指标/状态，说明批准链、单位、缺测与旗标、站点、TAVG日界、来源哈希及重跑命令、已覆盖与未覆盖范围。表名/排序/文字可等价，事实和JSON/CSV字段保持指定接口。不得宣称已执行未执行的步骤、NOAA背书、数据已经均一化或完整法律/气候专业审核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