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社会保障数据的跨媒介图表重设计与可编辑交接</w:t>
      </w:r>
    </w:p>
    <w:p>
      <w:pPr>
        <w:pStyle w:val="Heading1"/>
      </w:pPr>
      <w:r>
        <w:t>业务与时点</w:t>
      </w:r>
    </w:p>
    <w:p>
      <w:r>
        <w:t>你是虚构公共教育机构的信息设计师。讲者需用真实SSA公告解释2025年几个数字。资料截点2024-10-28 14:00 America/New_York，印刷计划当天18:00，演讲次日09:00。本委托、版本事件、旧图稿是原创演练；没有真实客户审批。以已收到且客户确认的V2为本轮委托，保留V3到达时点和未批准边界。</w:t>
      </w:r>
    </w:p>
    <w:p>
      <w:pPr>
        <w:pStyle w:val="Heading1"/>
      </w:pPr>
      <w:r>
        <w:t>实际交付</w:t>
      </w:r>
    </w:p>
    <w:p>
      <w:r>
        <w:t>重建三页16:9投影PPTX、两页A4横向印刷源PPTX及其实际导出的两页PDF，并交Excel数据/计算/版本/改动台账。不能把三页投影缩成讲义；讲义需离开讲者也能阅读。图表可用合理等价类型，但编辑者应能在PPTX中调整数据、标题与说明，不交整页截图。</w:t>
      </w:r>
    </w:p>
    <w:p>
      <w:r>
        <w:t>保留六个CPI-W月度值、季度均值与取整、三种变动的基数/期间，明确CPI指数与美元区别、工资指数与原始均值区别、基数与税率区别。准确区别待遇月份/支付日期。禁止政府印章和官方背书；不联网补后续数据、不发文、不印刷或联系外部人员。</w:t>
      </w:r>
    </w:p>
    <w:p>
      <w:pPr>
        <w:pStyle w:val="Heading1"/>
      </w:pPr>
      <w:r>
        <w:t>设计与交接要求</w:t>
      </w:r>
    </w:p>
    <w:p>
      <w:r>
        <w:t>投影版重点明确、文字适于观看；印刷版提供精确数表、来源定位和自足图注。不要用截断柱轴、半径线性编码、3D或视觉装饰制造差异；不要仅靠颜色区分系列。图注/标签/图例不遮挡。请实际导出检查尺寸、页数、字体和内容一致性。</w:t>
      </w:r>
    </w:p>
    <w:p>
      <w:r>
        <w:t>交接台账包含原数值、公式或等价可复核步骤、V1/V2/V3取舍、实质修订、责任人角色和使用前检查。遵循已给图表论文的适用原则，不要求复制论文图样或Gold布局。许可/第三方图片没有审核清楚的材料不复制发布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