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选择适用技能修复社区预约表单的键盘流程与错误恢复</w:t>
      </w:r>
    </w:p>
    <w:p>
      <w:pPr>
        <w:pStyle w:val="Heading1"/>
      </w:pPr>
      <w:r>
        <w:t>原创委托和授权时点</w:t>
      </w:r>
    </w:p>
    <w:p>
      <w:r>
        <w:t>CivicLab是原创虚构内部演练，不代表政府服务或真实场地。你是交互工程师，修复draft.html并交接可离线操作的多步预约原型。资料快照截至2026-10-21。V1于08:00 UTC提交；负责人09:00 UTC批准V2；09:30 UTC的V3草案提出100元/小时及超过60人安全审核，但未经批准。12:00 UTC交付仍执行V2，V3只记入待确认事项。</w:t>
      </w:r>
    </w:p>
    <w:p>
      <w:r>
        <w:t>环境/skills下有三种技能，阅读名称/说明后选适用技能；批准政策和表单恢复SOP在适用技能文件中。技能影响实际收费和分流，不能只在文档里声明调用。固定知识文件可直接阅读；不要求原生Skill工具或子agent调用。</w:t>
      </w:r>
    </w:p>
    <w:p>
      <w:pPr>
        <w:pStyle w:val="Heading1"/>
      </w:pPr>
      <w:r>
        <w:t>原型和业务验收</w:t>
      </w:r>
    </w:p>
    <w:p>
      <w:r>
        <w:t>联系信息→活动安排→核对→待人工审核回执。姓名/邮箱/活动名称必填；组织复选框开启才要求组织名。活动日期含首尾2026-11-01至12-31；小时数1至4整数；人数1至120整数；无障碍安排选填。返回/修改保留有效输入，核对页复用信息不重复录入。收费和审核按批准政策，确认页和回执不能表示自动批准。</w:t>
      </w:r>
    </w:p>
    <w:p>
      <w:r>
        <w:t>使用原生语义控件、可访问名称、逻辑Tab顺序、可见焦点；错误同时有文本、字段关联和可聚焦摘要，摘要链接可移到对应字段，修正时保留其他值。继续后焦点到下一步标题。对照WCAG2.2 2.1.1/2.1.2、2.4.7/2.4.11、3.3.1/3.3.2/3.3.3/3.3.7、4.1.2/4.1.3。</w:t>
      </w:r>
    </w:p>
    <w:p>
      <w:r>
        <w:t>在320/390/1280 CSS像素宽实际浏览器操作并截图；1.4.10重排无不必要水平滚动；普通文字4.5:1、大字3:1，1.4.11必要非文字边界3:1；2.5.8最小24CSS像素或条款允许例外，不能写成WCAG一律要求44。焦点2.4.11是不能完全被作者内容遮住。仅本题有界检查，不宣称完整WCAG一致性。</w:t>
      </w:r>
    </w:p>
    <w:p>
      <w:r>
        <w:t>保留draft.html字段/步骤/button ID作为QA集成接口，可以重写布局、JS和样式。不得外联、提交真实申请、持久保存演练个人数据或解释用户输入为HTML。等价实现可接受，工作表顺序/文案不需复制参考答案。</w:t>
      </w:r>
    </w:p>
    <w:p>
      <w:pPr>
        <w:pStyle w:val="Heading1"/>
      </w:pPr>
      <w:r>
        <w:t>交付物和证据</w:t>
      </w:r>
    </w:p>
    <w:p>
      <w:r>
        <w:t>交/app/output/prototype.html、audit.xlsx、handoff.docx、acceptance.py。HTML完全离线内嵌资源。审计工作簿逐项列WCAG条款/业务规则、坏稿问题、修复、可重现步骤、预期、实测和未覆盖范围。handoff说明技能选择、批准链、V3待确认、复现命令、真实运行记录、已知限制与来源。acceptance.py接受--html和--report-dir，实际运行Chromium产出JSON/截图，至少检出错误收费、80/81分界和错误恢复缺陷。不得粘贴静态成功JSON冒充运行。</w:t>
      </w:r>
    </w:p>
    <w:p>
      <w:r>
        <w:t>必须实际跑键盘错误恢复、条件字段、边界值、返回保留、V2费率/折扣、80与81分流和待审状态。记录HTML及检查器哈希和截图；实际失败保留，不能改断言迎合错误实现。截图与运行报告可以放报告目录，不要求嵌入Office文档。环境提供chromium及Python Playwright/Pillow/contrast库。</w:t>
      </w:r>
    </w:p>
    <w:p>
      <w:r>
        <w:t>原文为2024-12-12固定版WCAG2.2和W3C文档许可，保留原始HTML版权及状态。引用仅用于有界设计，未作独立权利审核。交接保留来源URL和版权说明；不声称W3C认可本软件。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