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CivicLab表单修复交接</w:t>
      </w:r>
    </w:p>
    <w:p>
      <w:pPr>
        <w:pStyle w:val="Heading1"/>
      </w:pPr>
      <w:r>
        <w:t>选择和授权</w:t>
      </w:r>
    </w:p>
    <w:p>
      <w:r>
        <w:t>选择service-form-accessibility：它提供表单SOP与批准V2政策；打印导出和月报技能不适用。09:00 UTC批准V2优先，较晚V3无批准，100元/小时和60人阈值不执行。V2 120元/小时、登记组织0.7倍、超过80人安全审核、全部待人工审核。</w:t>
      </w:r>
    </w:p>
    <w:p>
      <w:pPr>
        <w:pStyle w:val="Heading1"/>
      </w:pPr>
      <w:r>
        <w:t>实现与复现</w:t>
      </w:r>
    </w:p>
    <w:p>
      <w:r>
        <w:t>保留字段/步骤ID供QA；全内嵌HTML、原生控件、摘要/字段错误、标题焦点和返回保留。python acceptance.py --html prototype.html --report-dir browser-report。运行记录与截图必须另存并核对哈希；此作者说明不是成功运行证据。实际结果以独立报告为准。</w:t>
      </w:r>
    </w:p>
    <w:p>
      <w:pPr>
        <w:pStyle w:val="Heading1"/>
      </w:pPr>
      <w:r>
        <w:t>边界与来源</w:t>
      </w:r>
    </w:p>
    <w:p>
      <w:r>
        <w:t>有界Chromium键盘/行为/布局检查不等于完整WCAG一致性或辅助技术审核。未覆盖读屏实机、不同浏览器、所有配色组合及全部WCAG成功准则；须独立专业与权利审核。参考 https://www.w3.org/TR/2024/REC-WCAG22-20241212/ 与 https://www.w3.org/copyright/document-license-2023/ ，保留原文版权、URL和状态。不表示W3C认可。Copyright © 2023 W3C®. This software or document includes material copied from or derived from Web Content Accessibility Guidelines (WCAG) 2.2, https://www.w3.org/TR/2024/REC-WCAG22-20241212/ .</w:t>
      </w:r>
    </w:p>
    <w:p>
      <w:pPr>
        <w:pStyle w:val="Heading1"/>
      </w:pPr>
      <w:r>
        <w:t>实际作者运行</w:t>
      </w:r>
    </w:p>
    <w:p>
      <w:r>
        <w:t>Chromium在1280/390/320宽实跑164项有界检查通过，12张截图。证据runs/DE-FG-004/browser-boundaries-20261020/report.json；HTML SHA-256 14c02b8bfc7b56cf7e44e64b1a5573834abbf8c793591abfc1e69e5716746ec4；检查器SHA-256 7d645c6c54c5e13e29c591cb33e1324eaee1de8bb8b7940b0fb32ab120d79d51。这是作者实际运行，不是独立审核或模型解题。颜色仅抽测实际计算样式，非所有状态的完整对比度审计。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