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2024日末信息集下的资本回报复核</w:t>
      </w:r>
    </w:p>
    <w:p>
      <w:pPr>
        <w:pStyle w:val="Heading1"/>
      </w:pPr>
      <w:r>
        <w:t>原创演练</w:t>
      </w:r>
    </w:p>
    <w:p>
      <w:r>
        <w:t>你是财务分析师，读者是财务控制经理。这是原创公开数据分析委托，不是Apple实际内部计划、承诺或授权。公开财务事实未经改造。</w:t>
      </w:r>
    </w:p>
    <w:p>
      <w:pPr>
        <w:pStyle w:val="Heading1"/>
      </w:pPr>
      <w:r>
        <w:t>决策与范围</w:t>
      </w:r>
    </w:p>
    <w:p>
      <w:r>
        <w:t>经理看到CFO/净利润比上升，初步认为‘经营状况全面改善，2024回购和股息可无条件延续’。请复核该判断，并给下一轮讨论的量化约束。固定2024-11-01日末信息集，取当日已披露的2024年10-K中的2022、2023、2024三个完整财年可比记录，采用同一accn，不混入后来的比较数或季度值。</w:t>
      </w:r>
    </w:p>
    <w:p>
      <w:pPr>
        <w:pStyle w:val="Heading1"/>
      </w:pPr>
      <w:r>
        <w:t>压力测试（明确规划假设）</w:t>
      </w:r>
    </w:p>
    <w:p>
      <w:r>
        <w:t>仅作静态规划演练：以2024金额为基准，CFO下降10%，capex增加20%，股息保持2024金额，回购先保持2024金额。不引入新增融资、期初现金或其他现金项目。计算FCF、覆盖率、余额，以及余额不小于0时的最大回购额和相对2024回购需减少额。此模型不是预测或完整流动性模型。</w:t>
      </w:r>
    </w:p>
    <w:p>
      <w:pPr>
        <w:pStyle w:val="Heading1"/>
      </w:pPr>
      <w:r>
        <w:t>交接</w:t>
      </w:r>
    </w:p>
    <w:p>
      <w:r>
        <w:t>提交可追溯工作簿和不超过3页的中文决策备忘录，区分数据观察、计算关系、假设和待索取材料。指出哪些数据能支持决策，哪些结论须补完整现金流附注、债务到期和可动用现金等再评。不得伪造税务事项原因、现金流残差构成、公司批准、审计或投资建议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