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SEC原始字段与本次委托口径</w:t>
      </w:r>
    </w:p>
    <w:p>
      <w:pPr>
        <w:pStyle w:val="Heading1"/>
      </w:pPr>
      <w:r>
        <w:t>来源身份</w:t>
      </w:r>
    </w:p>
    <w:p>
      <w:r>
        <w:t>官方公司级XBRL聚合快照，来自https://data.sec.gov/api/xbrl/companyfacts/CIK0000320193.json；不是10-K全文、审计意见或全部附注。公司编号320193。检索返回2024年10-K accession 0000320193-24-000123，filed=2024-11-01，period_ending=2024-09-28。</w:t>
      </w:r>
    </w:p>
    <w:p>
      <w:r>
        <w:t>网页资料中的字段说明和原始标签描述以本文离线提供。完整JSON保留原始内容，Excel只是九个标签自2021起全部记录的转录，不是已筛好的答案。</w:t>
      </w:r>
    </w:p>
    <w:p>
      <w:pPr>
        <w:pStyle w:val="Heading1"/>
      </w:pPr>
      <w:r>
        <w:t>时间字段</w:t>
      </w:r>
    </w:p>
    <w:p>
      <w:r>
        <w:t>start/end为该条事实覆盖的期间；filed是披露日期；accn标识申报；fy/fp是申报的财年/季度标签，不能直接认定为每条比较事实的经济期间。frame并非每条记录均有，不能靠它唯一筛选。</w:t>
      </w:r>
    </w:p>
    <w:p>
      <w:r>
        <w:t>快照获取于2026年，含后来记录。本演练重建其可识别的历史上下文，不声称这是2024年API原状或完整历史披露档案。决策时点固定2024-11-01日末，不做日内时点判断。</w:t>
      </w:r>
    </w:p>
    <w:p>
      <w:pPr>
        <w:pStyle w:val="Heading1"/>
      </w:pPr>
      <w:r>
        <w:t>计算约定（委托定义）</w:t>
      </w:r>
    </w:p>
    <w:p>
      <w:r>
        <w:t>金额统一USD million=USD/1,000,000。CFO为经营现金流；FCF定义为CFO减购建固定资产支付，并非GAAP标准报表小计。资本回报=回购支付+股息支付，均作为正的现金流出量；FCF覆盖率=FCF/资本回报，余额=FCF-资本回报。</w:t>
      </w:r>
    </w:p>
    <w:p>
      <w:r>
        <w:t>CFO/NI为现金利润转换比。CFO-NI的差额只拆成D&amp;A、SBC和残差；残差=CFO-NI-D&amp;A-SBC，不能把残差命名为全部营运资本变化。ETR=税费/税前利润，不是法定税率或现金税率。期间天数含首尾，用于CFO/天描述性比较，不冒充行业标准调整指标。</w:t>
      </w:r>
    </w:p>
    <w:p>
      <w:pPr>
        <w:pStyle w:val="Heading1"/>
      </w:pPr>
      <w:r>
        <w:t>NI / NetIncomeLoss</w:t>
      </w:r>
    </w:p>
    <w:p>
      <w:r>
        <w:t>Net Income (Loss) Attributable to Parent</w:t>
      </w:r>
    </w:p>
    <w:p>
      <w:r>
        <w:t>The portion of profit or loss for the period, net of income taxes, which is attributable to the parent.</w:t>
      </w:r>
    </w:p>
    <w:p>
      <w:pPr>
        <w:pStyle w:val="Heading1"/>
      </w:pPr>
      <w:r>
        <w:t>CFO / NetCashProvidedByUsedInOperatingActivities</w:t>
      </w:r>
    </w:p>
    <w:p>
      <w:r>
        <w:t>Net Cash Provided by (Used in) Operating Activities</w:t>
      </w:r>
    </w:p>
    <w:p>
      <w:r>
        <w:t>Amount of cash inflow (outflow) from operating activities, including discontinued operations. Operating activity cash flows include transactions, adjustments, and changes in value not defined as investing or financing activities.</w:t>
      </w:r>
    </w:p>
    <w:p>
      <w:pPr>
        <w:pStyle w:val="Heading1"/>
      </w:pPr>
      <w:r>
        <w:t>DA / DepreciationDepletionAndAmortization</w:t>
      </w:r>
    </w:p>
    <w:p>
      <w:r>
        <w:t>Depreciation, Depletion and Amortization</w:t>
      </w:r>
    </w:p>
    <w:p>
      <w:r>
        <w:t>The aggregate expense recognized in the current period that allocates the cost of tangible assets, intangible assets, or depleting assets to periods that benefit from use of the assets.</w:t>
      </w:r>
    </w:p>
    <w:p>
      <w:pPr>
        <w:pStyle w:val="Heading1"/>
      </w:pPr>
      <w:r>
        <w:t>SBC / ShareBasedCompensation</w:t>
      </w:r>
    </w:p>
    <w:p>
      <w:r>
        <w:t>Share-based Payment Arrangement, Noncash Expense</w:t>
      </w:r>
    </w:p>
    <w:p>
      <w:r>
        <w:t>Amount of noncash expense for share-based payment arrangement.</w:t>
      </w:r>
    </w:p>
    <w:p>
      <w:pPr>
        <w:pStyle w:val="Heading1"/>
      </w:pPr>
      <w:r>
        <w:t>CAPEX / PaymentsToAcquirePropertyPlantAndEquipment</w:t>
      </w:r>
    </w:p>
    <w:p>
      <w:r>
        <w:t>Payments to Acquire Property, Plant, and Equipment</w:t>
      </w:r>
    </w:p>
    <w:p>
      <w:r>
        <w:t>The cash outflow associated with the acquisition of long-lived, physical assets that are used in the normal conduct of business to produce goods and services and not intended for resale; includes cash outflows to pay for construction of self-constructed assets.</w:t>
      </w:r>
    </w:p>
    <w:p>
      <w:pPr>
        <w:pStyle w:val="Heading1"/>
      </w:pPr>
      <w:r>
        <w:t>BUYBACK / PaymentsForRepurchaseOfCommonStock</w:t>
      </w:r>
    </w:p>
    <w:p>
      <w:r>
        <w:t>Payments for Repurchase of Common Stock</w:t>
      </w:r>
    </w:p>
    <w:p>
      <w:r>
        <w:t>The cash outflow to reacquire common stock during the period.</w:t>
      </w:r>
    </w:p>
    <w:p>
      <w:pPr>
        <w:pStyle w:val="Heading1"/>
      </w:pPr>
      <w:r>
        <w:t>DIV / PaymentsOfDividends</w:t>
      </w:r>
    </w:p>
    <w:p>
      <w:r>
        <w:t>Payments of Dividends</w:t>
      </w:r>
    </w:p>
    <w:p>
      <w:r>
        <w:t>Cash outflow in the form of capital distributions and dividends to common shareholders, preferred shareholders and noncontrolling interests.</w:t>
      </w:r>
    </w:p>
    <w:p>
      <w:pPr>
        <w:pStyle w:val="Heading1"/>
      </w:pPr>
      <w:r>
        <w:t>TAX / IncomeTaxExpenseBenefit</w:t>
      </w:r>
    </w:p>
    <w:p>
      <w:r>
        <w:t>Income Tax Expense (Benefit)</w:t>
      </w:r>
    </w:p>
    <w:p>
      <w:r>
        <w:t>Amount of current income tax expense (benefit) and deferred income tax expense (benefit) pertaining to continuing operations.</w:t>
      </w:r>
    </w:p>
    <w:p>
      <w:pPr>
        <w:pStyle w:val="Heading1"/>
      </w:pPr>
      <w:r>
        <w:t>PRETAX / IncomeLossFromContinuingOperationsBeforeIncomeTaxesExtraordinaryItemsNoncontrollingInterest</w:t>
      </w:r>
    </w:p>
    <w:p>
      <w:r>
        <w:t>Income (Loss) from Continuing Operations before Income Taxes, Noncontrolling Interest</w:t>
      </w:r>
    </w:p>
    <w:p>
      <w:r>
        <w:t>Amount of income (loss) from continuing operations, including income (loss) from equity method investments, before deduction of income tax expense (benefit), and income (loss) attributable to noncontrolling interest.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