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资本回报复核：转换比上升不足以支持无条件延续</w:t>
      </w:r>
    </w:p>
    <w:p>
      <w:pPr>
        <w:pStyle w:val="Heading1"/>
      </w:pPr>
      <w:r>
        <w:t>建议</w:t>
      </w:r>
    </w:p>
    <w:p>
      <w:r>
        <w:t>不接受‘经营全面改善、资本回报可无条件延续’的初步判断。2024 CFO118254、NI93736百万美元：CFO同比约+6.98%，NI约-3.36%；CFO/NI从1.1397升至1.2616，既涉及CFO增加也受NI分母下降影响。将回购约束提交经理讨论，待完整现金与债务信息核实后决策，不把本演练当公司承诺。</w:t>
      </w:r>
    </w:p>
    <w:p>
      <w:pPr>
        <w:pStyle w:val="Heading1"/>
      </w:pPr>
      <w:r>
        <w:t>时点及比较基础</w:t>
      </w:r>
    </w:p>
    <w:p>
      <w:r>
        <w:t>只使用SEC快照中filed=2024-11-01、accn=0000320193-24-000123的2024年10-K三年记录。经济期间按start/end而非fy单独确定；FY2022/24各364天，FY2023为371天。每日CFO的2024同比约+9.03%，是本委托描述性标准化，不是重述或行业标准。后来的比较披露和季度记录不进入历史基准。当前API快照不等于2024年当时完整API档案。</w:t>
      </w:r>
    </w:p>
    <w:p>
      <w:pPr>
        <w:pStyle w:val="Heading1"/>
      </w:pPr>
      <w:r>
        <w:t>转换比与差额的解释边界</w:t>
      </w:r>
    </w:p>
    <w:p>
      <w:r>
        <w:t>2024 CFO-NI=24518，D&amp;A11445、SBC11688，剩余1385；三年余项为2206、-8804、1385百万美元。SBC是本次CFO调节拆解项目，不代表没有稀释或经济成本；余项不能全部归为营运资本。2024税前利润增加9749，税费增加13008，NI因此减少3259，属于会计恒等关系；给定聚合标签不足以判断税务事项的具体原因。ETR约24.09%，不是法定或现金税率。</w:t>
      </w:r>
    </w:p>
    <w:p>
      <w:pPr>
        <w:pStyle w:val="Heading1"/>
      </w:pPr>
      <w:r>
        <w:t>资本回报及压力约束</w:t>
      </w:r>
    </w:p>
    <w:p>
      <w:r>
        <w:t>按委托FCF=CFO-capex，2024为108807；回购94949加股息15234=110183，覆盖率0.9875，余额-1376百万美元。2022/23余额为7200、7009。本关系没有计入期初现金或融资，不可据此断言资不抵债或回购必由借款融资。</w:t>
      </w:r>
    </w:p>
    <w:p>
      <w:r>
        <w:t>静态压力下CFO106428.6、capex11336.4，FCF95092.2；股息和原回购不变时余额-15090.8，覆盖率约0.8630。固定股息且要求该模型余额不小于0，最大回购79858.2，相对94949需减少15090.8百万美元。这是明确假设下的约束，不是对现金流的预测或已批准方案。</w:t>
      </w:r>
    </w:p>
    <w:p>
      <w:pPr>
        <w:pStyle w:val="Heading1"/>
      </w:pPr>
      <w:r>
        <w:t>下一步与权限</w:t>
      </w:r>
    </w:p>
    <w:p>
      <w:r>
        <w:t>分析师保留27条原始USD、单位换算、JSON索引和公式；财务控制经理复核口径、压力参数及跨文件数字；再索取完整CFO调节、税务附注、可动用现金与债务到期、资本回报政策。SEC聚合接口不是年报全文，不能伪称已审阅审计意见或机构已签字。未执行交易或联系公司，不提供证券买卖建议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