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银行净利息收入分析稿的证据修复与发布关口</w:t>
      </w:r>
    </w:p>
    <w:p>
      <w:pPr>
        <w:pStyle w:val="Heading1"/>
      </w:pPr>
      <w:r>
        <w:t>角色、使用者与历史截点</w:t>
      </w:r>
    </w:p>
    <w:p>
      <w:r>
        <w:t>你是虚构研究团队的初级银行分析员，向研究负责人提交发布前审阅包。按2025-02-26 09:30 America/New_York截点处理；全年经济期间为2022/2023/2024，指定申报accession为0000070858-25-000139。团队要判断现有草案哪些数字能进入内部复核，哪些结论应撤下，以及是否可对外发送。实际没有要求交易或投资评级。</w:t>
      </w:r>
    </w:p>
    <w:p>
      <w:r>
        <w:t>内部记录中的政策、角色、事件和草案为原创演练；三份JSON为2026年实际取得的公开SEC数据。JSON名义主体/记录冲突应保留，不能更改输入或凭CIK相同自行解释原因。原始10-K HTML不在输入中，本题不要求联网补全。未取得的材料列为补证，不虚构。</w:t>
      </w:r>
    </w:p>
    <w:p>
      <w:pPr>
        <w:pStyle w:val="Heading1"/>
      </w:pPr>
      <w:r>
        <w:t>必须处理的分析</w:t>
      </w:r>
    </w:p>
    <w:p>
      <w:r>
        <w:t>先用submissions及历史004确认主体、CIK、指定accession、表单、报告期、申报日和受理UTC时间，转换到截点时区；目标不在recent不等于不存在。对照companyfacts的entityName，不把当前API当历史快照。</w:t>
      </w:r>
    </w:p>
    <w:p>
      <w:r>
        <w:t>从companyfacts八个指定us-gaap标签的USD数组，按目标accession、10-K、完整自然年度起止、filed不晚于截点所在日筛选2022-2024记录。fy可以是2024而经济期间是2022/2023；排除季度、其他申报及未来回填。不以数组最新记录或frame存在与否替代筛选。</w:t>
      </w:r>
    </w:p>
    <w:p>
      <w:r>
        <w:t>复算三年利息及股息收入、权责利息费用、净利息收入、四类费用和现金净付息，保留原USD及USD百万。检查收入减费用与净利息收入、四费用合计与总费用残差。作2022→2023及2023→2024金额桥接；特别解释2024收入增长而净利息收入下降，并列存款费用增量及其占费用总增量比例。这是金额组成，不是利率/业务量因果。</w:t>
      </w:r>
    </w:p>
    <w:p>
      <w:r>
        <w:t>分别检查现金/权责差额、FTE、净息差和利率/业务量归因的证据是否充分；期末总资产不能直接替平均生息资产。给出不能核实的具体字段和补证，不猜FTE调整、平均资产或rate/volume结果。</w:t>
      </w:r>
    </w:p>
    <w:p>
      <w:pPr>
        <w:pStyle w:val="Heading1"/>
      </w:pPr>
      <w:r>
        <w:t>审批与交接</w:t>
      </w:r>
    </w:p>
    <w:p>
      <w:r>
        <w:t>逐项审D01-D08，保留正确陈述，不机械全否。按事实表政策生效时间及审批事件，分别给内部复核、内部正式流转和对外发布状态；可复算不等于已获签字。指出截点适用的政策和10:00后可能新增的依赖，未来政策不得追溯生效。</w:t>
      </w:r>
    </w:p>
    <w:p>
      <w:r>
        <w:t>工作簿列主体、口径与数据缺口的关闭证据、负责角色及依赖；Word给负责人优先级和进入/退出条件，说明当前可以做什么、需谁确认后才能继续。分析员不代研究负责人批准，不实际发送材料，不制造更名证明、回签、取得全文或对外发送凭证。</w:t>
      </w:r>
    </w:p>
    <w:p>
      <w:pPr>
        <w:pStyle w:val="Heading1"/>
      </w:pPr>
      <w:r>
        <w:t>交付要求</w:t>
      </w:r>
    </w:p>
    <w:p>
      <w:r>
        <w:t>在/app/output交FIN-FG-005_审阅工作簿.xlsx和FIN-FG-005_发布建议.docx。Excel可筛选，包含八标签三年来源台账、金额桥接、草案审阅及发布关口；金额USD百万至少两位，比例显示百分数，保留可复核计算或公式和原始定位。每条来源可用JSON Pointer或标签/units/USD数组零起始索引定位，注明accession和期间，不能只写网页链接。</w:t>
      </w:r>
    </w:p>
    <w:p>
      <w:r>
        <w:t>Word中文A4不超过3页。两文件关于截点、关键金额方向及发布状态一致；允许等价布局、表名、公式方法和措辞。不要交加密/压缩包、URL代替文件或修改输入。所有结论限定此离线委托，不宣称已完整阅读年报或完成现行规则审查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