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银行研究稿：先复核数字，暂缓对外发布</w:t>
      </w:r>
    </w:p>
    <w:p>
      <w:pPr>
        <w:pStyle w:val="Heading1"/>
      </w:pPr>
      <w:r>
        <w:t>截点决策</w:t>
      </w:r>
    </w:p>
    <w:p>
      <w:r>
        <w:t>按2025-02-26 09:30 America/New_York，建议暂缓对外发布。三份SEC JSON能支持指定accession的金额核对，但companyfacts主体名BofA Finance LLC与submissions的BANK OF AMERICA CORP /DE/差异尚未解决；同CIK不能证明更名或合并范围。当前API实际在2026年取得，不是截点当日快照。</w:t>
      </w:r>
    </w:p>
    <w:p>
      <w:r>
        <w:t>09:30适用V1；V2虽于昨日发布，要到今日10:00才生效。24条初步台账可送同级复核，E02只有请求、没有回签，不能称已批准内部正式流转。E01无研究负责人批准。09:40 E04既晚于截点，又没有证明，不回填为已知。分析员无对外代批权。</w:t>
      </w:r>
    </w:p>
    <w:p>
      <w:pPr>
        <w:pStyle w:val="Heading1"/>
      </w:pPr>
      <w:r>
        <w:t>可复核金额与不能推导的结论</w:t>
      </w:r>
    </w:p>
    <w:p>
      <w:r>
        <w:t>单位USD百万，2022/2023/2024净利息收入分别52462、56931、56060。2022→2023收入增57697减费用增53228，得到NII增4469；2023→2024收入增16345减费用增17216，得到NII减871。因此2024收入上升不等于NII上升。三年收入/费用及四类费用合计的残差均为0，详见工作簿原USD和JSON数组索引。</w:t>
      </w:r>
    </w:p>
    <w:p>
      <w:r>
        <w:t>2024存款费用增12279，占总费用增量17216的约71.32%，仅为金额组成，不是存款利率对NII下降的因果比例。2024现金净付息89687与权责费用90547不同，差860，不能换作费用。不用期末资产代平均生息资产算净息差，不冒称已获FTE净利息收入、同行可比排名或rate/volume归因。原10-K全文和相关表不在包内，不能说已读附注。</w:t>
      </w:r>
    </w:p>
    <w:p>
      <w:pPr>
        <w:pStyle w:val="Heading1"/>
      </w:pPr>
      <w:r>
        <w:t>交接次序与退出条件</w:t>
      </w:r>
    </w:p>
    <w:p>
      <w:r>
        <w:t>先由分析员把初步台账、残差及D01-D08审阅送同级复核者；D07可保留，余条修正。内部正式流转须复核签字且保留初步/范围标识。资料管理员补原申报封面及报告范围，研究负责人核验主体后再考虑外发；若进入10:00后，先按V2取得数据负责人核验签字，再由研究负责人批准，不制造既有回签。</w:t>
      </w:r>
    </w:p>
    <w:p>
      <w:r>
        <w:t>并行补三类口径材料：平均生息资产及指标定义、GAAP到FTE调节、rate/volume及平均余额/利率明细，交银行研究复核者确认期间与范围。能核实后才扩展结论，无法取得就保留限制并缩减发布内容；主体核验、适用签字链及批准没有闭环前，不对外发送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