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2025首次最低分配规划与客户通知分流</w:t>
      </w:r>
    </w:p>
    <w:p>
      <w:pPr>
        <w:pStyle w:val="Heading1"/>
      </w:pPr>
      <w:r>
        <w:t>委托与截点</w:t>
      </w:r>
    </w:p>
    <w:p>
      <w:r>
        <w:t>你是虚构财富管理团队的退休服务分析员。负责人要在2024-09-20 09:00 America/New_York冻结资料，为2025首个RMD分配年设计通知队列。请以随附两份2024官方PDF为封闭规则集，不联网补成现行法律意见，不判断2024实际税务合规。所有客户仍健在，均为原始所有人，非继承账户；401(k)均为私人qualified defined contribution计划，不含政府、教会、DB、年金或混合Roth/税前账户。</w:t>
      </w:r>
    </w:p>
    <w:p>
      <w:r>
        <w:t>原始台账的未来计划和假设不是已确认事实。除了明确列出的变动，规划情景假定账户、本人存活及规则不变；长期日期只能以该假设表述。内部角色、客户和计划条款均原创合成，不能称为真实通知或真实计划文件核验。</w:t>
      </w:r>
    </w:p>
    <w:p>
      <w:pPr>
        <w:pStyle w:val="Heading1"/>
      </w:pPr>
      <w:r>
        <w:t>要解决的工作</w:t>
      </w:r>
    </w:p>
    <w:p>
      <w:r>
        <w:t>为C01-C13逐户记录账户/计划分流、适用年龄、首次分配年、首年最晚日期、随后年度截止日（如能确定）与依据。缺条件时给条件分支，不能统一填空、凭仍在职免除或把预计退休当退休。特别指出所有权测试所对应的计划年度，区分统一年龄条款和一般退休规则。</w:t>
      </w:r>
    </w:p>
    <w:p>
      <w:r>
        <w:t>分别列最终/拟议文件身份、公布、生效、适用分配年度及1959条款状态。对1959客户可列拟议73岁与另一75岁规划敏感性情景，但不得作为最终法律判定；客户2025是否触发和长期日期可确定性分开。把延期首年与下一年度的两个付款日期说明白。</w:t>
      </w:r>
    </w:p>
    <w:p>
      <w:r>
        <w:t>逐条审核D01-D06并写可给顾问替换的准确短句。给补证项目、负责角色、内部提醒日及关闭所需证据；提醒日由你合理安排，标为内部安排而非法定截止。识别哪些客户可先准备标准说明、哪些应询问计划管理员，不能以所有未知为由停掉全部工作。</w:t>
      </w:r>
    </w:p>
    <w:p>
      <w:pPr>
        <w:pStyle w:val="Heading1"/>
      </w:pPr>
      <w:r>
        <w:t>交付与边界</w:t>
      </w:r>
    </w:p>
    <w:p>
      <w:r>
        <w:t>在/app/output交FIN-FG-011_客户分流.xlsx及FIN-FG-011_顾问交接.docx。Excel含13客户覆盖、规则版本、草案修订与补证队列；日期ISO格式，条件日期附前提，条款定位到文件/PDF页/节。Word中文A4不超过3页，给顾问分组、C01延期说明和1959/缺资料客户可用措辞，与Excel一致；允许等价布局、顺序和措辞。</w:t>
      </w:r>
    </w:p>
    <w:p>
      <w:r>
        <w:t>不计算RMD美元金额或税负：没有余额/分母/税率；不得制造余额、客户已领取、管理员回函、已核未来所有权或消息已发送记录。不实际交易或发通知。仅将未来状态当规划假设，取得实际证据后复核；继承账户和其他产品须另行委托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