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2025首次分配通知：顾问交接</w:t>
      </w:r>
    </w:p>
    <w:p>
      <w:pPr>
        <w:pStyle w:val="Heading1"/>
      </w:pPr>
      <w:r>
        <w:t>历史规则与可以先推进的工作</w:t>
      </w:r>
    </w:p>
    <w:p>
      <w:r>
        <w:t>截点2024-09-20 09:00 America/New_York，以随附2024官方文件规划2025。TD10001于7月19日公布、9月17日生效，主要条款自2025分配年度适用；不据此评价2024全部合规。客户和计划信息是演练，未来状态为假设。</w:t>
      </w:r>
    </w:p>
    <w:p>
      <w:r>
        <w:t>先为C01/02/04/07/08准备2025首年说明；C02非所有人及C04条款稳定仍须后续核实。C03/06按仍为维持计划雇主工作的假设追踪实际退休，不将年龄或离开A自动当成首年。C09/10仅在本人健在、原始本人且C10纯designated Roth范围说明2025无本人终生RMD。不要因C05/13待补资料停掉全部队列。</w:t>
      </w:r>
    </w:p>
    <w:p>
      <w:pPr>
        <w:pStyle w:val="Heading1"/>
      </w:pPr>
      <w:r>
        <w:t>给C01的可用措辞</w:t>
      </w:r>
    </w:p>
    <w:p>
      <w:r>
        <w:t>您本人traditional IRA不因仍在职而延期。按本次规划，2025为首次分配年，最晚2026-04-01；若选择2026-03-30领取2025款，这只是拟议提款安排，尚未执行，2026年度款仍须2026-12-31前支付。两个年度的责任并存，缺余额、分母和税率，不报金额，也不承诺延期必定节税。</w:t>
      </w:r>
    </w:p>
    <w:p>
      <w:pPr>
        <w:pStyle w:val="Heading1"/>
      </w:pPr>
      <w:r>
        <w:t>条件客户与长期说明</w:t>
      </w:r>
    </w:p>
    <w:p>
      <w:r>
        <w:t>C05：2024所有人证明不能替2025内结束计划年度的身份测试；2025为所有人则按年龄年，否则在一般计划且继续就业时未定。请管理员安排对应年度核验，不能现在出具未来已确认凭证。C13：先取一般/统一年龄条款；若年龄制或2025实际退休则首年2025、最晚2026-04-01，否则继续在职时未定，预计退休不算完成。</w:t>
      </w:r>
    </w:p>
    <w:p>
      <w:r>
        <w:t>C11：1959最终年龄条款留空，73是同日拟议方案；2025不因年龄触发。可展示73岁情景2032首年/2033-04-01与75岁敏感性2034/2035-04-01，均非最终法律承诺。C12按1960后75岁规则、持续存活且规则不变情景为2035首年/2036-04-01，次年义务2036-12-31，不保证未来法律不变。</w:t>
      </w:r>
    </w:p>
    <w:p>
      <w:pPr>
        <w:pStyle w:val="Heading1"/>
      </w:pPr>
      <w:r>
        <w:t>交接与证据</w:t>
      </w:r>
    </w:p>
    <w:p>
      <w:r>
        <w:t>运营与管理员10月4日内部提醒核计划条款、就业与所有权安排，法规跟踪10月18日内部提醒复查1959条款；这些是建议的内部安排，不是法定截止。每项关闭要有相应条款/状态证明或后续最终规则出处，不能把请求当回函。未实际发送、交易、取得未来身份确认或计算美元RMD；继承/混合账户需另审。详细逐户依据、六条顾问草案及关闭条件见配套工作簿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