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跨年OASDI工资基数上限与修订流水的薪酬控制复核</w:t>
      </w:r>
    </w:p>
    <w:p>
      <w:pPr>
        <w:pStyle w:val="Heading1"/>
      </w:pPr>
      <w:r>
        <w:t>决策</w:t>
      </w:r>
    </w:p>
    <w:p>
      <w:r>
        <w:t>你是薪酬控制分析师，向薪酬经理交付待复核的工资基数调整建议。经理拟将混有历史修订、撤销和未支付记录的草案用于系统配置；请先核对年度上限、有效流水及累计封顶。不得实际运行工资、申报或退款。历史分析截点为2025-01-31 17:00 America/New_York；拟交接2025-02-03 10:00 America/New_York，尚未发生。</w:t>
      </w:r>
    </w:p>
    <w:p>
      <w:pPr>
        <w:pStyle w:val="Heading1"/>
      </w:pPr>
      <w:r>
        <w:t>事实与范围</w:t>
      </w:r>
    </w:p>
    <w:p>
      <w:r>
        <w:t>官方SSA公告真实。工作簿所有雇员、工资和系统草案为原创演练给定数据；均为同一美国普通雇主覆盖范围内的雇员，不涉及铁路、家政、自雇、多雇主、继承雇主或跨境例外。仅计算OASDI计税工资基数增量及累计，不计算税率/税额、Medicare、所得税或实际待遇。所有金额USD，非千元。</w:t>
      </w:r>
    </w:p>
    <w:p>
      <w:r>
        <w:t>2024期初累计表给出2024-12-26日终已支付的覆盖工资；2025-01-01各人归零。工资期仅描述劳务月份，年份按实际支付日期。各金额均为已确定的OASDI覆盖工资，不再判断福利是否计入；没有负数追溯退款。</w:t>
      </w:r>
    </w:p>
    <w:p>
      <w:pPr>
        <w:pStyle w:val="Heading1"/>
      </w:pPr>
      <w:r>
        <w:t>流水契约</w:t>
      </w:r>
    </w:p>
    <w:p>
      <w:r>
        <w:t>同一流水ID可能有多版本。只在修订时间不晚于截点的记录中选最大修订号；不是相加。然后仅纳入状态PAID且支付时间不晚于截点者。VOID不纳入且不能复活旧PAID版本；PENDING不因计划支付日期已到而视为已付。保留全部原始行的处置。按雇员、支付年度、支付时间累计，不能每张工资单重新给一个年度上限。</w:t>
      </w:r>
    </w:p>
    <w:p>
      <w:r>
        <w:t>草案按流水ID列13个对象。对所有对象给有效状态、应计工资基数、草案额、应计减草案差额及理由；无效/未付/未来支付者本截点应计为0。差额是工资基数建议调整，不等于税款、退款或已记账额。</w:t>
      </w:r>
    </w:p>
    <w:p>
      <w:pPr>
        <w:pStyle w:val="Heading1"/>
      </w:pPr>
      <w:r>
        <w:t>文献与输出</w:t>
      </w:r>
    </w:p>
    <w:p>
      <w:r>
        <w:t>分别定位2024/2025适用公告、公布日、适用支付年和OASDI一般上限。说明2026事后公告不能回填历史判断；不能把福利COLA比例、old-law基数或其他福利门槛当OASDI工资上限。复核2025上限计算所用基准金额、工资指数、取整与保底。</w:t>
      </w:r>
    </w:p>
    <w:p>
      <w:r>
        <w:t>交付FIN-FG-022_工资基数复核.xlsx及FIN-FG-022_控制交接.docx。Excel保留有效流水公式、员工年度汇总、13项差额与总额校验、每一原始行的处置及依据。中文A4备忘录不超过3页，含决定、关键数字、局限及交接关闭证据。允许等价表名、排序与合理替代措辞；不得覆盖输入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