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工资基数草案应先修订并复核，暂不配置或执行</w:t>
      </w:r>
    </w:p>
    <w:p>
      <w:pPr>
        <w:pStyle w:val="Heading1"/>
      </w:pPr>
      <w:r>
        <w:t>决定与金额</w:t>
      </w:r>
    </w:p>
    <w:p>
      <w:r>
        <w:t>不按未审草案直接配置。15条原始修订行归并13个流水ID后，10笔在2025-01-31 17:00 America/New_York截点前为有效已支付记录。草案工资基数944300美元，应计926600美元，建议差额-17700美元。该差额不是税额、退款或已入账调整。2024本次应计222200美元，2025本次应计704400美元；不要把本次增量与含期初累计混为一谈。</w:t>
      </w:r>
    </w:p>
    <w:p>
      <w:pPr>
        <w:pStyle w:val="Heading1"/>
      </w:pPr>
      <w:r>
        <w:t>适用规则与版本</w:t>
      </w:r>
    </w:p>
    <w:p>
      <w:r>
        <w:t>2024一般OASDI上限168600美元，依据2023-23317（2023-10-23，PDF3页）；2025为176100美元，依据2024-24871（2024-10-25，PDF4页）。按支付年选用，P05/P06劳务期2024-12但2025支付，归2025。2026公告2025-19763于2025-11-03公布，晚于本题截点且只适用2026；不能以最新归档184500美元倒灌历史。</w:t>
      </w:r>
    </w:p>
    <w:p>
      <w:r>
        <w:t>2025上限按60600×66621.80/22935.42约176028.22，最近300取整为176100，并与168600取大。福利COLA 2.5%不是工资基数上限的同比算法；old-law及其他福利门槛不能替代一般OASDI上限。</w:t>
      </w:r>
    </w:p>
    <w:p>
      <w:pPr>
        <w:pStyle w:val="Heading1"/>
      </w:pPr>
      <w:r>
        <w:t>关键错因</w:t>
      </w:r>
    </w:p>
    <w:p>
      <w:r>
        <w:t>P05选r2的6000而不是r1的5000或两者相加；P11最新VOID使旧PAID失效；P12仍PENDING；P13修订及支付均在截点后，排除。每人每支付年度重开累计，再逐笔消耗年度空间。A在2024的P01只计3600，B在2024的P02增量0；到2025二者重开累计。A的P09承接6000后仅计170100，B的P10承接8000后计168100。C和D在2025分别封顶176100。</w:t>
      </w:r>
    </w:p>
    <w:p>
      <w:pPr>
        <w:pStyle w:val="Heading1"/>
      </w:pPr>
      <w:r>
        <w:t>边界与交接</w:t>
      </w:r>
    </w:p>
    <w:p>
      <w:r>
        <w:t>这是原创匿名演练，SSA法规原件真实，不代表真实员工记录或2025当时实际下载。只计算给定普通单雇主覆盖工资的OASDI基数，不延伸到税率、税款、Medicare、所得税、待遇、退款或特殊覆盖情形。2025累计只是截至1月31日，不是全年工资预测。</w:t>
      </w:r>
    </w:p>
    <w:p>
      <w:r>
        <w:t>分析师保留证据与13项调整；薪酬经理逐项复核规则、版本和公式后决定；配置负责人须取得书面批准并保留实际回归日志；有权工资/申报负责人另核税额与真实账簿。2025-02-03 10:00 America/New_York仅拟交接。当前未授权、未配置、未申报、未退款，不能补造完成或签字。</w:t>
      </w:r>
    </w:p>
    <w:sectPr w:rsidR="00FC693F" w:rsidRPr="0006063C" w:rsidSect="00034616">
      <w:footerReference w:type="default" r:id="rId9"/>
      <w:pgSz w:w="11906" w:h="16838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第 </w:t>
    </w:r>
    <w:fldSimple w:instr="PAGE"/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/>
      <w:spacing w:after="100" w:line="264" w:lineRule="auto"/>
    </w:pPr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55B53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55B5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255B5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2000-01-01T00:00:00Z</dcterms:created>
  <dcterms:modified xsi:type="dcterms:W3CDTF">2000-01-01T00:00:00Z</dcterms:modified>
  <cp:category/>
</cp:coreProperties>
</file>