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LumenForge素材评审交接</w:t>
      </w:r>
    </w:p>
    <w:p>
      <w:pPr>
        <w:pStyle w:val="Heading1"/>
      </w:pPr>
      <w:r>
        <w:t>授权与技能</w:t>
      </w:r>
    </w:p>
    <w:p>
      <w:r>
        <w:t>执行09:00 UTC批准V2；08:00 V1已被替代，09:30 V3未获批准。game-asset-release的hold规则要求台账/来源冲突时保留ICON_AXE，即使公开BY3可用也不能静默纠正采购台账并放行。V2允许两项素材的部分评审候选，不要求等四项齐全。</w:t>
      </w:r>
    </w:p>
    <w:p>
      <w:pPr>
        <w:pStyle w:val="Heading1"/>
      </w:pPr>
      <w:r>
        <w:t>候选与阻塞</w:t>
      </w:r>
    </w:p>
    <w:p>
      <w:r>
        <w:t>UI_BASE及SPELL_FIRE入选；ICON_AXE与FONT_MENU保留hold，不混入候选。采购与权利审核员核对Ravenmore许可并纠正台账，制作负责人确认后重审；美术负责人取得独立字体文件及相应许可交权利审核员，不能裁剪预览或推断字体授权。</w:t>
      </w:r>
    </w:p>
    <w:p>
      <w:pPr>
        <w:pStyle w:val="Heading1"/>
      </w:pPr>
      <w:r>
        <w:t>复现</w:t>
      </w:r>
    </w:p>
    <w:p>
      <w:r>
        <w:t>python /skills/game-asset-release/release_probe.py --inputs /app/input_files --candidate /app/output/candidate.json --report /app/output/release-report.json。核对报告内probe/policy/ledger和原文件SHA256；实际运行证据另存，不以本段当作执行成功。三PNG原始字节来源及两个ZIP成员/父SHA在工作簿。</w:t>
      </w:r>
    </w:p>
    <w:p>
      <w:pPr>
        <w:pStyle w:val="Heading1"/>
      </w:pPr>
      <w:r>
        <w:t>局限与原文</w:t>
      </w:r>
    </w:p>
    <w:p>
      <w:r>
        <w:t>仅prepared_for_human_review；published=false，不对外发布。CC0无署名义务，工作簿溯源为内部政策。BY3保留许可/原作者通知并注明未修改；多许可证择一不等于整游戏重许可。OGA FAQ只是说明，原许可文本优先。CC0与BY3均不授予作者背书，也未完成第三方/商标权清查、独立法律审核或商店条款核对。保留原HTML许可和来源，不作平台兼容结论。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