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WCAG规范原文摘录</w:t>
      </w:r>
    </w:p>
    <w:p>
      <w:pPr>
        <w:pStyle w:val="Heading1"/>
      </w:pPr>
      <w:r>
        <w:t>读取说明</w:t>
      </w:r>
    </w:p>
    <w:p>
      <w:r>
        <w:t>摘自附带的两个有日期官方HTML，保留英文逐字文本及锚点；省略其他准则不代表它们不适用。HTML外部样式和链接不作为必需输入；本摘录覆盖本次新增项分析及声明边界。</w:t>
      </w:r>
    </w:p>
    <w:p>
      <w:pPr>
        <w:pStyle w:val="Heading1"/>
      </w:pPr>
      <w:r>
        <w:t>WCAG21 #parsing</w:t>
      </w:r>
    </w:p>
    <w:p>
      <w:r>
        <w:t>Success Criterion 4.1.1 Parsing§ Understanding Parsing | How to Meet Parsing(Level A) In content implemented using markup languages, elements have complete start and end tags, elements are nested according to their specifications, elements do not contain duplicate attributes, and any IDs are unique, except where the specifications allow these features. NoteStart and end tags that are missing a critical character in their formation, such as a closing angle bracket or a mismatched attribute value quotation mark are not complete.</w:t>
      </w:r>
    </w:p>
    <w:p>
      <w:pPr>
        <w:pStyle w:val="Heading1"/>
      </w:pPr>
      <w:r>
        <w:t>WCAG22 #focus-not-obscured-minimum</w:t>
      </w:r>
    </w:p>
    <w:p>
      <w:r>
        <w:t>Success Criterion 2.4.11 Focus Not Obscured (Minimum) Understanding Focus Not Obscured (Minimum) | How to Meet Focus Not Obscured (Minimum)(Level AA) New When a user interface component receives keyboard focus, the component is not entirely hidden due to author-created content. Note 1Where content in a configurable interface can be repositioned by the user, then only the initial positions of user-movable content are considered for testing and conformance of this success criterion. Note 2Content opened by the user may obscure the component receiving focus. If the user can reveal the focused component without advancing the keyboard focus, the component with focus is not considered visually hidden due to author-created content.</w:t>
      </w:r>
    </w:p>
    <w:p>
      <w:pPr>
        <w:pStyle w:val="Heading1"/>
      </w:pPr>
      <w:r>
        <w:t>WCAG22 #focus-not-obscured-enhanced</w:t>
      </w:r>
    </w:p>
    <w:p>
      <w:r>
        <w:t>Success Criterion 2.4.12 Focus Not Obscured (Enhanced) Understanding Focus Not Obscured (Enhanced) | How to Meet Focus Not Obscured (Enhanced)(Level AAA) New When a user interface component receives keyboard focus, no part of the component is hidden by author-created content.</w:t>
      </w:r>
    </w:p>
    <w:p>
      <w:pPr>
        <w:pStyle w:val="Heading1"/>
      </w:pPr>
      <w:r>
        <w:t>WCAG22 #focus-appearance</w:t>
      </w:r>
    </w:p>
    <w:p>
      <w:r>
        <w:t>Success Criterion 2.4.13 Focus Appearance Understanding Focus Appearance | How to Meet Focus Appearance(Level AAA) New When the keyboard focus indicator is visible, an area of the focus indicator meets all the following: is at least as large as the area of a 2 CSS pixel thick perimeter of the unfocused component or sub-component, and has a contrast ratio of at least 3:1 between the same pixels in the focused and unfocused states. Exceptions: The focus indicator is determined by the user agent and cannot be adjusted by the author, or The focus indicator and the indicator's background color are not modified by the author. Note 1What is perceived as the user interface component or sub-component (to determine the perimeter) depends on its visual presentation. The visual presentation includes the component's visible content, border, and component-specific background. It does not include shadow and glow effects outside the component's content, background, or border. Note 2Examples of sub-components that may receive a focus indicator are menu items in an opened drop-down menu, or focusable cells in a grid. Note 3Contrast calculations can be based on colors defined within the technology (such as HTML, CSS, and SVG). Pixels modified by user agent resolution enhancements and anti-aliasing can be ignored.</w:t>
      </w:r>
    </w:p>
    <w:p>
      <w:pPr>
        <w:pStyle w:val="Heading1"/>
      </w:pPr>
      <w:r>
        <w:t>WCAG22 #dragging-movements</w:t>
      </w:r>
    </w:p>
    <w:p>
      <w:r>
        <w:t>Success Criterion 2.5.7 Dragging Movements Understanding Dragging Movements | How to Meet Dragging Movements(Level AA) New All functionality that uses a dragging movement for operation can be achieved by a single pointer without dragging, unless dragging is essential or the functionality is determined by the user agent and not modified by the author. NoteThis requirement applies to web content that interprets pointer actions (i.e., this does not apply to actions that are required to operate the user agent or assistive technology).</w:t>
      </w:r>
    </w:p>
    <w:p>
      <w:pPr>
        <w:pStyle w:val="Heading1"/>
      </w:pPr>
      <w:r>
        <w:t>WCAG22 #target-size-minimum</w:t>
      </w:r>
    </w:p>
    <w:p>
      <w:r>
        <w:t>Success Criterion 2.5.8 Target Size (Minimum) Understanding Target Size (Minimum) | How to Meet Target Size (Minimum)(Level AA) New The size of the target for pointer inputs is at least 24 by 24 CSS pixels, except when: Spacing Undersized targets (those less than 24 by 24 CSS pixels) are positioned so that if a 24 CSS pixel diameter circle is centered on the bounding box of each, the circles do not intersect another target or the circle for another undersized target; Equivalent The function can be achieved through a different control on the same page that meets this criterion; Inline The target is in a sentence or its size is otherwise constrained by the line-height of non-target text; User Agent Control The size of the target is determined by the user agent and is not modified by the author; Essential A particular presentation of the target is essential or is legally required for the information being conveyed. Note 1Targets that allow for values to be selected spatially based on position within the target are considered one target for the purpose of the success criterion. Examples include sliders, color pickers displaying a gradient of colors, or editable areas where you position the cursor. Note 2For inline targets the line-height should be interpreted as perpendicular to the flow of text. For example, in a language displayed vertically, the line-height would be horizontal.</w:t>
      </w:r>
    </w:p>
    <w:p>
      <w:pPr>
        <w:pStyle w:val="Heading1"/>
      </w:pPr>
      <w:r>
        <w:t>WCAG22 #consistent-help</w:t>
      </w:r>
    </w:p>
    <w:p>
      <w:r>
        <w:t>Success Criterion 3.2.6 Consistent Help Understanding Consistent Help | How to Meet Consistent Help(Level A) New If a web page contains any of the following help mechanisms, and those mechanisms are repeated on multiple web pages within a set of web pages, they occur in the same order relative to other page content, unless a change is initiated by the user: Human contact details; Human contact mechanism; Self-help option; A fully automated contact mechanism. Note 1Help mechanisms may be provided directly on the page, or may be provided via a direct link to a different page containing the information. Note 2For this success criterion, "the same order relative to other page content" can be thought of as how the content is ordered when the page is serialized. The visual position of a help mechanism is likely to be consistent across pages for the same page variation (e.g., CSS break-point). The user can initiate a change, such as changing the page's zoom or orientation, which may trigger a different page variation. This criterion is concerned with relative order across pages displayed in the same page variation (e.g., same zoom level and orientation).</w:t>
      </w:r>
    </w:p>
    <w:p>
      <w:pPr>
        <w:pStyle w:val="Heading1"/>
      </w:pPr>
      <w:r>
        <w:t>WCAG22 #redundant-entry</w:t>
      </w:r>
    </w:p>
    <w:p>
      <w:r>
        <w:t>Success Criterion 3.3.7 Redundant Entry Understanding Redundant Entry | How to Meet Redundant Entry(Level A) New Information previously entered by or provided to the user that is required to be entered again in the same process is either: auto-populated, or available for the user to select. Except when: re-entering the information is essential, the information is required to ensure the security of the content, or previously entered information is no longer valid.</w:t>
      </w:r>
    </w:p>
    <w:p>
      <w:pPr>
        <w:pStyle w:val="Heading1"/>
      </w:pPr>
      <w:r>
        <w:t>WCAG22 #accessible-authentication-minimum</w:t>
      </w:r>
    </w:p>
    <w:p>
      <w:r>
        <w:t>Success Criterion 3.3.8 Accessible Authentication (Minimum) Understanding Accessible Authentication (Minimum) | How to Meet Accessible Authentication (Minimum)(Level AA) New A cognitive function test (such as remembering a password or solving a puzzle) is not required for any step in an authentication process unless that step provides at least one of the following: Alternative Another authentication method that does not rely on a cognitive function test. Mechanism A mechanism is available to assist the user in completing the cognitive function test. Object Recognition The cognitive function test is to recognize objects. Personal Content The cognitive function test is to identify non-text content the user provided to the website. Note 1"Object recognition" and "Personal content" may be represented by images, video, or audio. Note 2Examples of mechanisms that satisfy this criterion include: support for password entry by password managers to reduce memory need, and copy and paste to reduce the cognitive burden of re-typing.</w:t>
      </w:r>
    </w:p>
    <w:p>
      <w:pPr>
        <w:pStyle w:val="Heading1"/>
      </w:pPr>
      <w:r>
        <w:t>WCAG22 #accessible-authentication-enhanced</w:t>
      </w:r>
    </w:p>
    <w:p>
      <w:r>
        <w:t>Success Criterion 3.3.9 Accessible Authentication (Enhanced) Understanding Accessible Authentication (Enhanced) | How to Meet Accessible Authentication (Enhanced)(Level AAA) New A cognitive function test (such as remembering a password or solving a puzzle) is not required for any step in an authentication process unless that step provides at least one of the following: Alternative Another authentication method that does not rely on a cognitive function test. Mechanism A mechanism is available to assist the user in completing the cognitive function test.</w:t>
      </w:r>
    </w:p>
    <w:p>
      <w:pPr>
        <w:pStyle w:val="Heading1"/>
      </w:pPr>
      <w:r>
        <w:t>WCAG22 #parsing</w:t>
      </w:r>
    </w:p>
    <w:p>
      <w:r>
        <w:t>Success Criterion 4.1.1 Parsing (Obsolete and removed) Understanding Parsing (Obsolete and removed) | How to Meet Parsing (Obsolete and removed)NoteThis criterion was originally adopted to address problems that assistive technology had directly parsing HTML. Assistive technology no longer has any need to directly parse HTML. Consequently, these problems either no longer exist or are addressed by other criteria. This criterion no longer has utility and is removed.</w:t>
      </w:r>
    </w:p>
    <w:p>
      <w:pPr>
        <w:pStyle w:val="Heading1"/>
      </w:pPr>
      <w:r>
        <w:t>WCAG22 #cc1</w:t>
      </w:r>
    </w:p>
    <w:p>
      <w:r>
        <w:t>5.2.1 Conformance Level One of the following levels of conformance is met in full. For Level A conformance (the minimum level of conformance), the web page satisfies all the Level A success criteria, or a conforming alternate version is provided. For Level AA conformance, the web page satisfies all the Level A and Level AA success criteria, or a Level AA conforming alternate version is provided. For Level AAA conformance, the web page satisfies all the Level A, Level AA and Level AAA success criteria, or a Level AAA conforming alternate version is provided. Note 1Although conformance can only be achieved at the stated levels, authors are encouraged to report (in their claim) any progress toward meeting success criteria from all levels beyond the achieved level of conformance. Note 2It is not recommended that Level AAA conformance be required as a general policy for entire sites because it is not possible to satisfy all Level AAA success criteria for some content.</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