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TEMP official source reading edition</w:t>
      </w:r>
    </w:p>
    <w:p>
      <w:pPr>
        <w:pStyle w:val="Heading1"/>
      </w:pPr>
      <w:r>
        <w:t>Source and scope</w:t>
      </w:r>
    </w:p>
    <w:p>
      <w:r>
        <w:t>https://www.govinfo.gov/content/pkg/FR-2024-05-30/pdf/2024-11910.pdf</w:t>
      </w:r>
    </w:p>
    <w:p>
      <w:r>
        <w:t>Full extracted text follows. Original PDF is authoritative; page furniture and adjacent documents may be present.</w:t>
      </w:r>
    </w:p>
    <w:p>
      <w:pPr>
        <w:pStyle w:val="Heading1"/>
      </w:pPr>
      <w:r>
        <w:t>Extracted source text</w:t>
      </w:r>
    </w:p>
    <w:p>
      <w:r>
        <w:t>Federal Register / Vol. 89, No. 105 / Thursday, May 30, 2024 / Rules and Regulations</w:t>
      </w:r>
    </w:p>
    <w:p>
      <w:r>
        <w:t>Background</w:t>
      </w:r>
    </w:p>
    <w:p>
      <w:r>
        <w:t>On May 10, 2024, OFAC issued GL 8N</w:t>
      </w:r>
    </w:p>
    <w:p>
      <w:r>
        <w:t>to authorize certain transactions</w:t>
      </w:r>
    </w:p>
    <w:p>
      <w:r>
        <w:t>otherwise prohibited by the Venezuela</w:t>
      </w:r>
    </w:p>
    <w:p>
      <w:r>
        <w:t>Sanctions Regulations (VSR), 31 CFR</w:t>
      </w:r>
    </w:p>
    <w:p>
      <w:r>
        <w:t>part 591. GL 8N was made available on</w:t>
      </w:r>
    </w:p>
    <w:p>
      <w:r>
        <w:t>OFAC’s website (https://</w:t>
      </w:r>
    </w:p>
    <w:p>
      <w:r>
        <w:t>ofac.treasury.gov/) when it was issued.</w:t>
      </w:r>
    </w:p>
    <w:p>
      <w:r>
        <w:t>GL 8N supersedes GL 8M, which was</w:t>
      </w:r>
    </w:p>
    <w:p>
      <w:r>
        <w:t>issued on November 16, 2023. GL 8N</w:t>
      </w:r>
    </w:p>
    <w:p>
      <w:r>
        <w:t>has an expiration date of November 15,</w:t>
      </w:r>
    </w:p>
    <w:p>
      <w:r>
        <w:t>2024. The text of this GL is provided</w:t>
      </w:r>
    </w:p>
    <w:p>
      <w:r>
        <w:t>below.</w:t>
      </w:r>
    </w:p>
    <w:p>
      <w:r>
        <w:t>OFFICE OF FOREIGN ASSETS</w:t>
      </w:r>
    </w:p>
    <w:p>
      <w:r>
        <w:t>CONTROL</w:t>
      </w:r>
    </w:p>
    <w:p>
      <w:r>
        <w:t>Venezuela Sanctions Regulations</w:t>
      </w:r>
    </w:p>
    <w:p>
      <w:r>
        <w:t>31 CFR Part 591</w:t>
      </w:r>
    </w:p>
    <w:p>
      <w:r>
        <w:t>GENERAL LICENSE NO. 8N</w:t>
      </w:r>
    </w:p>
    <w:p>
      <w:r>
        <w:t>Authorizing Transactions Involving</w:t>
      </w:r>
    </w:p>
    <w:p>
      <w:r>
        <w:t>Petróleos de Venezuela, S.A. (PdVSA)</w:t>
      </w:r>
    </w:p>
    <w:p>
      <w:r>
        <w:t>Necessary for the Limited Maintenance</w:t>
      </w:r>
    </w:p>
    <w:p>
      <w:r>
        <w:t>of Essential Operations in Venezuela or</w:t>
      </w:r>
    </w:p>
    <w:p>
      <w:r>
        <w:t>the Wind Down of Operations in</w:t>
      </w:r>
    </w:p>
    <w:p>
      <w:r>
        <w:t>Venezuela for Certain Entities</w:t>
      </w:r>
    </w:p>
    <w:p/>
    <w:p>
      <w:r>
        <w:t>ddrumheller on DSK120RN23PROD with RULES1</w:t>
      </w:r>
    </w:p>
    <w:p/>
    <w:p>
      <w:r>
        <w:t>(a) Except as provided in paragraphs</w:t>
      </w:r>
    </w:p>
    <w:p>
      <w:r>
        <w:t>(c) and (d) of this general license, all</w:t>
      </w:r>
    </w:p>
    <w:p>
      <w:r>
        <w:t>transactions and activities prohibited by</w:t>
      </w:r>
    </w:p>
    <w:p>
      <w:r>
        <w:t>Executive Order (E.O.) 13850 of</w:t>
      </w:r>
    </w:p>
    <w:p>
      <w:r>
        <w:t>November 1, 2018, as amended by E.O.</w:t>
      </w:r>
    </w:p>
    <w:p>
      <w:r>
        <w:t>13857 of January 25, 2019, or E.O. 13884</w:t>
      </w:r>
    </w:p>
    <w:p>
      <w:r>
        <w:t>of August 5, 2019, each as incorporated</w:t>
      </w:r>
    </w:p>
    <w:p>
      <w:r>
        <w:t>into the Venezuela Sanctions</w:t>
      </w:r>
    </w:p>
    <w:p>
      <w:r>
        <w:t>Regulations, 31 CFR part 591 (the VSR),</w:t>
      </w:r>
    </w:p>
    <w:p>
      <w:r>
        <w:t>that are ordinarily incident and</w:t>
      </w:r>
    </w:p>
    <w:p>
      <w:r>
        <w:t>necessary to the limited maintenance of</w:t>
      </w:r>
    </w:p>
    <w:p>
      <w:r>
        <w:t>essential operations, contracts, or other</w:t>
      </w:r>
    </w:p>
    <w:p>
      <w:r>
        <w:t>agreements, that: (i) are for safety or the</w:t>
      </w:r>
    </w:p>
    <w:p>
      <w:r>
        <w:t>preservation of assets in Venezuela; (ii)</w:t>
      </w:r>
    </w:p>
    <w:p>
      <w:r>
        <w:t>involve PdVSA or any entity in which</w:t>
      </w:r>
    </w:p>
    <w:p>
      <w:r>
        <w:t>PdVSA owns, directly or indirectly, a 50</w:t>
      </w:r>
    </w:p>
    <w:p>
      <w:r>
        <w:t>percent or greater interest; and (iii) were</w:t>
      </w:r>
    </w:p>
    <w:p>
      <w:r>
        <w:t>in effect prior to July 26, 2019, are</w:t>
      </w:r>
    </w:p>
    <w:p>
      <w:r>
        <w:t>authorized through 12:01 a.m. eastern</w:t>
      </w:r>
    </w:p>
    <w:p>
      <w:r>
        <w:t>standard time, November 15, 2024, for</w:t>
      </w:r>
    </w:p>
    <w:p>
      <w:r>
        <w:t>the following entities and their</w:t>
      </w:r>
    </w:p>
    <w:p>
      <w:r>
        <w:t>subsidiaries (collectively, the ‘‘Covered</w:t>
      </w:r>
    </w:p>
    <w:p>
      <w:r>
        <w:t>Entities’’):</w:t>
      </w:r>
    </w:p>
    <w:p>
      <w:r>
        <w:t>• Halliburton</w:t>
      </w:r>
    </w:p>
    <w:p>
      <w:r>
        <w:t>• Schlumberger Limited</w:t>
      </w:r>
    </w:p>
    <w:p>
      <w:r>
        <w:t>• Baker Hughes Holdings LLC</w:t>
      </w:r>
    </w:p>
    <w:p>
      <w:r>
        <w:t>• Weatherford International, Public</w:t>
      </w:r>
    </w:p>
    <w:p>
      <w:r>
        <w:t>Limited Company</w:t>
      </w:r>
    </w:p>
    <w:p>
      <w:r>
        <w:t>Note to paragraph (a). Transactions and</w:t>
      </w:r>
    </w:p>
    <w:p>
      <w:r>
        <w:t>activities necessary for safety or the</w:t>
      </w:r>
    </w:p>
    <w:p>
      <w:r>
        <w:t>preservation of assets in Venezuela that are</w:t>
      </w:r>
    </w:p>
    <w:p>
      <w:r>
        <w:t>authorized by paragraph (a) of this general</w:t>
      </w:r>
    </w:p>
    <w:p>
      <w:r>
        <w:t>license include: transactions and activities</w:t>
      </w:r>
    </w:p>
    <w:p>
      <w:r>
        <w:t>necessary to ensure the safety of personnel,</w:t>
      </w:r>
    </w:p>
    <w:p>
      <w:r>
        <w:t>or the integrity of operations and assets in</w:t>
      </w:r>
    </w:p>
    <w:p>
      <w:r>
        <w:t>Venezuela; participation in shareholder and</w:t>
      </w:r>
    </w:p>
    <w:p>
      <w:r>
        <w:t>board of directors meetings; making</w:t>
      </w:r>
    </w:p>
    <w:p>
      <w:r>
        <w:t>payments on third-party invoices for</w:t>
      </w:r>
    </w:p>
    <w:p>
      <w:r>
        <w:t>transactions and activities authorized by</w:t>
      </w:r>
    </w:p>
    <w:p>
      <w:r>
        <w:t>paragraph (a) of this general license, or</w:t>
      </w:r>
    </w:p>
    <w:p>
      <w:r>
        <w:t>incurred prior to April 21, 2020, provided</w:t>
      </w:r>
    </w:p>
    <w:p>
      <w:r>
        <w:t>such activity was authorized at the time it</w:t>
      </w:r>
    </w:p>
    <w:p/>
    <w:p>
      <w:r>
        <w:t>VerDate Sep&lt;11&gt;2014</w:t>
      </w:r>
    </w:p>
    <w:p/>
    <w:p>
      <w:r>
        <w:t>15:52 May 29, 2024</w:t>
      </w:r>
    </w:p>
    <w:p/>
    <w:p>
      <w:r>
        <w:t>Jkt 262001</w:t>
      </w:r>
    </w:p>
    <w:p/>
    <w:p>
      <w:r>
        <w:t>occurred; payment of local taxes and</w:t>
      </w:r>
    </w:p>
    <w:p>
      <w:r>
        <w:t>purchase of utility services in Venezuela; and</w:t>
      </w:r>
    </w:p>
    <w:p>
      <w:r>
        <w:t>payment of salaries for employees and</w:t>
      </w:r>
    </w:p>
    <w:p>
      <w:r>
        <w:t>contractors in Venezuela.</w:t>
      </w:r>
    </w:p>
    <w:p/>
    <w:p>
      <w:r>
        <w:t>(b) Except as provided in paragraph</w:t>
      </w:r>
    </w:p>
    <w:p>
      <w:r>
        <w:t>(d) of this general license, all</w:t>
      </w:r>
    </w:p>
    <w:p>
      <w:r>
        <w:t>transactions and activities prohibited by</w:t>
      </w:r>
    </w:p>
    <w:p>
      <w:r>
        <w:t>E.O. 13850, as amended, or E.O. 13884,</w:t>
      </w:r>
    </w:p>
    <w:p>
      <w:r>
        <w:t>each as incorporated into the VSR, that</w:t>
      </w:r>
    </w:p>
    <w:p>
      <w:r>
        <w:t>are ordinarily incident and necessary to</w:t>
      </w:r>
    </w:p>
    <w:p>
      <w:r>
        <w:t>the wind down of operations, contracts,</w:t>
      </w:r>
    </w:p>
    <w:p>
      <w:r>
        <w:t>or other agreements in Venezuela</w:t>
      </w:r>
    </w:p>
    <w:p>
      <w:r>
        <w:t>involving PdVSA or any entity in which</w:t>
      </w:r>
    </w:p>
    <w:p>
      <w:r>
        <w:t>PdVSA owns, directly or indirectly, a 50</w:t>
      </w:r>
    </w:p>
    <w:p>
      <w:r>
        <w:t>percent or greater interest, and that were</w:t>
      </w:r>
    </w:p>
    <w:p>
      <w:r>
        <w:t>in effect prior to July 26, 2019, are</w:t>
      </w:r>
    </w:p>
    <w:p>
      <w:r>
        <w:t>authorized through 12:01 a.m. eastern</w:t>
      </w:r>
    </w:p>
    <w:p>
      <w:r>
        <w:t>standard time, November 15, 2024, for</w:t>
      </w:r>
    </w:p>
    <w:p>
      <w:r>
        <w:t>the Covered Entities.</w:t>
      </w:r>
    </w:p>
    <w:p>
      <w:r>
        <w:t>(c) Paragraph (a) of this general</w:t>
      </w:r>
    </w:p>
    <w:p>
      <w:r>
        <w:t>license does not authorize:</w:t>
      </w:r>
    </w:p>
    <w:p>
      <w:r>
        <w:t>(1) The drilling, lifting, or processing</w:t>
      </w:r>
    </w:p>
    <w:p>
      <w:r>
        <w:t>of, purchase or sale of, or transport or</w:t>
      </w:r>
    </w:p>
    <w:p>
      <w:r>
        <w:t>shipping of any Venezuelan-origin</w:t>
      </w:r>
    </w:p>
    <w:p>
      <w:r>
        <w:t>petroleum or petroleum products;</w:t>
      </w:r>
    </w:p>
    <w:p>
      <w:r>
        <w:t>(2) The provision or receipt of</w:t>
      </w:r>
    </w:p>
    <w:p>
      <w:r>
        <w:t>insurance or reinsurance with respect to</w:t>
      </w:r>
    </w:p>
    <w:p>
      <w:r>
        <w:t>the transactions and activities described</w:t>
      </w:r>
    </w:p>
    <w:p>
      <w:r>
        <w:t>in paragraph (c)(1) of this general</w:t>
      </w:r>
    </w:p>
    <w:p>
      <w:r>
        <w:t>license;</w:t>
      </w:r>
    </w:p>
    <w:p>
      <w:r>
        <w:t>(3) The design, construction,</w:t>
      </w:r>
    </w:p>
    <w:p>
      <w:r>
        <w:t>installation, repair, or improvement of</w:t>
      </w:r>
    </w:p>
    <w:p>
      <w:r>
        <w:t>any wells or other facilities or</w:t>
      </w:r>
    </w:p>
    <w:p>
      <w:r>
        <w:t>infrastructure in Venezuela or the</w:t>
      </w:r>
    </w:p>
    <w:p>
      <w:r>
        <w:t>purchasing or provision of any goods or</w:t>
      </w:r>
    </w:p>
    <w:p>
      <w:r>
        <w:t>services, except as required for safety;</w:t>
      </w:r>
    </w:p>
    <w:p>
      <w:r>
        <w:t>(4) Contracting for additional</w:t>
      </w:r>
    </w:p>
    <w:p>
      <w:r>
        <w:t>personnel or services, except as required</w:t>
      </w:r>
    </w:p>
    <w:p>
      <w:r>
        <w:t>for safety; or</w:t>
      </w:r>
    </w:p>
    <w:p>
      <w:r>
        <w:t>(5) The payment of any dividend,</w:t>
      </w:r>
    </w:p>
    <w:p>
      <w:r>
        <w:t>including in kind, to PdVSA, or any</w:t>
      </w:r>
    </w:p>
    <w:p>
      <w:r>
        <w:t>entity in which PdVSA owns, directly</w:t>
      </w:r>
    </w:p>
    <w:p>
      <w:r>
        <w:t>or indirectly, a 50 percent or greater</w:t>
      </w:r>
    </w:p>
    <w:p>
      <w:r>
        <w:t>interest.</w:t>
      </w:r>
    </w:p>
    <w:p>
      <w:r>
        <w:t>(d) This general license does not</w:t>
      </w:r>
    </w:p>
    <w:p>
      <w:r>
        <w:t>authorize:</w:t>
      </w:r>
    </w:p>
    <w:p>
      <w:r>
        <w:t>(1) Any transactions or dealings</w:t>
      </w:r>
    </w:p>
    <w:p>
      <w:r>
        <w:t>related to the exportation or</w:t>
      </w:r>
    </w:p>
    <w:p>
      <w:r>
        <w:t>reexportation of diluents, directly or</w:t>
      </w:r>
    </w:p>
    <w:p>
      <w:r>
        <w:t>indirectly, to Venezuela;</w:t>
      </w:r>
    </w:p>
    <w:p>
      <w:r>
        <w:t>(2) Any loans to, accrual of additional</w:t>
      </w:r>
    </w:p>
    <w:p>
      <w:r>
        <w:t>debt by, or subsidization of PdVSA, or</w:t>
      </w:r>
    </w:p>
    <w:p>
      <w:r>
        <w:t>any entity in which PdVSA owns,</w:t>
      </w:r>
    </w:p>
    <w:p>
      <w:r>
        <w:t>directly or indirectly, a 50 percent or</w:t>
      </w:r>
    </w:p>
    <w:p>
      <w:r>
        <w:t>greater interest, including in kind,</w:t>
      </w:r>
    </w:p>
    <w:p>
      <w:r>
        <w:t>prohibited by E.O. 13808 of August 24,</w:t>
      </w:r>
    </w:p>
    <w:p>
      <w:r>
        <w:t>2017, as amended by E.O. 13857, and</w:t>
      </w:r>
    </w:p>
    <w:p>
      <w:r>
        <w:t>incorporated into the VSR; or</w:t>
      </w:r>
    </w:p>
    <w:p>
      <w:r>
        <w:t>(3) Any transactions or activities</w:t>
      </w:r>
    </w:p>
    <w:p>
      <w:r>
        <w:t>otherwise prohibited by the VSR, or any</w:t>
      </w:r>
    </w:p>
    <w:p>
      <w:r>
        <w:t>other part of 31 CFR chapter V, or any</w:t>
      </w:r>
    </w:p>
    <w:p>
      <w:r>
        <w:t>transactions or activities with any</w:t>
      </w:r>
    </w:p>
    <w:p>
      <w:r>
        <w:t>blocked person other than the blocked</w:t>
      </w:r>
    </w:p>
    <w:p>
      <w:r>
        <w:t>persons identified in paragraphs (a) and</w:t>
      </w:r>
    </w:p>
    <w:p>
      <w:r>
        <w:t>(b) of this general license.</w:t>
      </w:r>
    </w:p>
    <w:p>
      <w:r>
        <w:t>(e) Effective May 10, 2024, General</w:t>
      </w:r>
    </w:p>
    <w:p>
      <w:r>
        <w:t>License No. 8N, dated November 16,</w:t>
      </w:r>
    </w:p>
    <w:p>
      <w:r>
        <w:t>2023, is replaced and superseded in its</w:t>
      </w:r>
    </w:p>
    <w:p>
      <w:r>
        <w:t>entirety by this General License No. 8N.</w:t>
      </w:r>
    </w:p>
    <w:p/>
    <w:p>
      <w:r>
        <w:t>PO 00000</w:t>
      </w:r>
    </w:p>
    <w:p/>
    <w:p>
      <w:r>
        <w:t>Frm 00007</w:t>
      </w:r>
    </w:p>
    <w:p/>
    <w:p>
      <w:r>
        <w:t>Fmt 4700</w:t>
      </w:r>
    </w:p>
    <w:p/>
    <w:p>
      <w:r>
        <w:t>Sfmt 4700</w:t>
      </w:r>
    </w:p>
    <w:p/>
    <w:p>
      <w:r>
        <w:t>46803</w:t>
      </w:r>
    </w:p>
    <w:p/>
    <w:p>
      <w:r>
        <w:t>Lisa M. Palluconi,</w:t>
      </w:r>
    </w:p>
    <w:p>
      <w:r>
        <w:t>Deputy Director, Office of Foreign Assets</w:t>
      </w:r>
    </w:p>
    <w:p>
      <w:r>
        <w:t>Control.</w:t>
      </w:r>
    </w:p>
    <w:p>
      <w:r>
        <w:t>Dated: May 10, 2024.</w:t>
      </w:r>
    </w:p>
    <w:p>
      <w:r>
        <w:t>Bradley T. Smith,</w:t>
      </w:r>
    </w:p>
    <w:p>
      <w:r>
        <w:t>Director, Office of Foreign Assets Control.</w:t>
      </w:r>
    </w:p>
    <w:p>
      <w:r>
        <w:t>[FR Doc. 2024–11846 Filed 5–29–24; 8:45 am]</w:t>
      </w:r>
    </w:p>
    <w:p>
      <w:r>
        <w:t>BILLING CODE 4810–AL–P</w:t>
      </w:r>
    </w:p>
    <w:p/>
    <w:p>
      <w:r>
        <w:t>NATIONAL ARCHIVES AND RECORDS</w:t>
      </w:r>
    </w:p>
    <w:p>
      <w:r>
        <w:t>ADMINISTRATION</w:t>
      </w:r>
    </w:p>
    <w:p>
      <w:r>
        <w:t>36 CFR Part 1236</w:t>
      </w:r>
    </w:p>
    <w:p>
      <w:r>
        <w:t>[FDMS No. NARA–24–0012; NARA–2024–</w:t>
      </w:r>
    </w:p>
    <w:p>
      <w:r>
        <w:t>037]</w:t>
      </w:r>
    </w:p>
    <w:p>
      <w:r>
        <w:t>RIN 3095–AC18</w:t>
      </w:r>
    </w:p>
    <w:p/>
    <w:p>
      <w:r>
        <w:t>Federal Records Management:</w:t>
      </w:r>
    </w:p>
    <w:p>
      <w:r>
        <w:t>Digitizing Temporary Records</w:t>
      </w:r>
    </w:p>
    <w:p>
      <w:r>
        <w:t>AGENCY: National Archives and Records</w:t>
      </w:r>
    </w:p>
    <w:p/>
    <w:p>
      <w:r>
        <w:t>Administration (NARA).</w:t>
      </w:r>
    </w:p>
    <w:p>
      <w:r>
        <w:t>ACTION: Direct final rule.</w:t>
      </w:r>
    </w:p>
    <w:p>
      <w:r>
        <w:t>SUMMARY: In June 2023, the National</w:t>
      </w:r>
    </w:p>
    <w:p/>
    <w:p>
      <w:r>
        <w:t>Archives and Records Administration</w:t>
      </w:r>
    </w:p>
    <w:p>
      <w:r>
        <w:t>(NARA) issued GRS Transmittal 34,</w:t>
      </w:r>
    </w:p>
    <w:p>
      <w:r>
        <w:t>which introduced GRS 4.5 Digitizing</w:t>
      </w:r>
    </w:p>
    <w:p>
      <w:r>
        <w:t>Records. NARA is updating the</w:t>
      </w:r>
    </w:p>
    <w:p>
      <w:r>
        <w:t>regulations to incorporate GRS 4.5 and</w:t>
      </w:r>
    </w:p>
    <w:p>
      <w:r>
        <w:t>ensure agencies use the proper</w:t>
      </w:r>
    </w:p>
    <w:p>
      <w:r>
        <w:t>authorization for disposing of temporary</w:t>
      </w:r>
    </w:p>
    <w:p>
      <w:r>
        <w:t>records that have been digitized. We</w:t>
      </w:r>
    </w:p>
    <w:p>
      <w:r>
        <w:t>added guidance directing agencies to</w:t>
      </w:r>
    </w:p>
    <w:p>
      <w:r>
        <w:t>manage temporary digital records</w:t>
      </w:r>
    </w:p>
    <w:p>
      <w:r>
        <w:t>according to the requirements. We also</w:t>
      </w:r>
    </w:p>
    <w:p>
      <w:r>
        <w:t>clarified language regarding when</w:t>
      </w:r>
    </w:p>
    <w:p>
      <w:r>
        <w:t>agencies may dispose of the scheduled</w:t>
      </w:r>
    </w:p>
    <w:p>
      <w:r>
        <w:t>source records. Additionally, we are</w:t>
      </w:r>
    </w:p>
    <w:p>
      <w:r>
        <w:t>harmonizing language in existing</w:t>
      </w:r>
    </w:p>
    <w:p>
      <w:r>
        <w:t>regulations with the new amendments.</w:t>
      </w:r>
    </w:p>
    <w:p>
      <w:r>
        <w:t>DATES: This rule is effective August 28,</w:t>
      </w:r>
    </w:p>
    <w:p>
      <w:r>
        <w:t>2024 without further action, unless</w:t>
      </w:r>
    </w:p>
    <w:p>
      <w:r>
        <w:t>adverse comment is received by July 1,</w:t>
      </w:r>
    </w:p>
    <w:p>
      <w:r>
        <w:t>2024. If adverse comment is received,</w:t>
      </w:r>
    </w:p>
    <w:p>
      <w:r>
        <w:t>NARA will publish a timely withdrawal</w:t>
      </w:r>
    </w:p>
    <w:p>
      <w:r>
        <w:t>of the rule in the Federal Register.</w:t>
      </w:r>
    </w:p>
    <w:p>
      <w:r>
        <w:t>ADDRESSES: You may submit comments</w:t>
      </w:r>
    </w:p>
    <w:p>
      <w:r>
        <w:t>on this rule, identified by RIN 3095–</w:t>
      </w:r>
    </w:p>
    <w:p>
      <w:r>
        <w:t>AC18, by any of the following methods:</w:t>
      </w:r>
    </w:p>
    <w:p>
      <w:r>
        <w:t>• Federal eRulemaking Portal: http://</w:t>
      </w:r>
    </w:p>
    <w:p>
      <w:r>
        <w:t>www.regulations.gov. Follow the</w:t>
      </w:r>
    </w:p>
    <w:p>
      <w:r>
        <w:t>instructions for submitting comments.</w:t>
      </w:r>
    </w:p>
    <w:p>
      <w:r>
        <w:t>• Email: Regulation_comments@</w:t>
      </w:r>
    </w:p>
    <w:p>
      <w:r>
        <w:t>nara.gov. Include RIN 3095–AC18 in the</w:t>
      </w:r>
    </w:p>
    <w:p>
      <w:r>
        <w:t>subject line of the message.</w:t>
      </w:r>
    </w:p>
    <w:p>
      <w:r>
        <w:t>• Mail (for paper, disk, or CD–ROM</w:t>
      </w:r>
    </w:p>
    <w:p>
      <w:r>
        <w:t>submissions): Send comments to</w:t>
      </w:r>
    </w:p>
    <w:p>
      <w:r>
        <w:t>Regulation Comments Desk (External</w:t>
      </w:r>
    </w:p>
    <w:p>
      <w:r>
        <w:t>Policy Program, Strategy &amp; Performance</w:t>
      </w:r>
    </w:p>
    <w:p>
      <w:r>
        <w:t>Division (MP)); Suite 4100; National</w:t>
      </w:r>
    </w:p>
    <w:p>
      <w:r>
        <w:t>Archives and Records Administration;</w:t>
      </w:r>
    </w:p>
    <w:p>
      <w:r>
        <w:t>8601 Adelphi Road; College Park, MD</w:t>
      </w:r>
    </w:p>
    <w:p>
      <w:r>
        <w:t>20740–6001.</w:t>
      </w:r>
    </w:p>
    <w:p>
      <w:r>
        <w:t>• Hand delivery or courier: Deliver</w:t>
      </w:r>
    </w:p>
    <w:p>
      <w:r>
        <w:t>comments to the front desk at 8601</w:t>
      </w:r>
    </w:p>
    <w:p/>
    <w:p>
      <w:r>
        <w:t>E:\FR\FM\30MYR1.SGM</w:t>
      </w:r>
    </w:p>
    <w:p/>
    <w:p>
      <w:r>
        <w:t>30MYR1</w:t>
      </w:r>
    </w:p>
    <w:p/>
    <w:p/>
    <w:p>
      <w:r>
        <w:t>46804</w:t>
      </w:r>
    </w:p>
    <w:p/>
    <w:p>
      <w:r>
        <w:t>Federal Register / Vol. 89, No. 105 / Thursday, May 30, 2024 / Rules and Regulations</w:t>
      </w:r>
    </w:p>
    <w:p>
      <w:r>
        <w:t>Regulatory Flexibility Act (5 U.S.C. 601,</w:t>
      </w:r>
    </w:p>
    <w:p>
      <w:r>
        <w:t>et seq.)</w:t>
      </w:r>
    </w:p>
    <w:p/>
    <w:p>
      <w:r>
        <w:t>Adelphi Road, College Park, MD,</w:t>
      </w:r>
    </w:p>
    <w:p>
      <w:r>
        <w:t>addressed to: Regulations Comments</w:t>
      </w:r>
    </w:p>
    <w:p>
      <w:r>
        <w:t>Desk, External Policy Program; Suite</w:t>
      </w:r>
    </w:p>
    <w:p>
      <w:r>
        <w:t>4100.</w:t>
      </w:r>
    </w:p>
    <w:p>
      <w:r>
        <w:t>FOR FURTHER INFORMATION CONTACT:</w:t>
      </w:r>
    </w:p>
    <w:p/>
    <w:p>
      <w:r>
        <w:t>Edward Germino, Strategy and</w:t>
      </w:r>
    </w:p>
    <w:p>
      <w:r>
        <w:t>Performance Division, by email at</w:t>
      </w:r>
    </w:p>
    <w:p>
      <w:r>
        <w:t>regulation_comments@nara.gov, or by</w:t>
      </w:r>
    </w:p>
    <w:p>
      <w:r>
        <w:t>telephone at 301–837–3758. Contact</w:t>
      </w:r>
    </w:p>
    <w:p>
      <w:r>
        <w:t>rmstandards@nara.gov with any</w:t>
      </w:r>
    </w:p>
    <w:p>
      <w:r>
        <w:t>questions on records management</w:t>
      </w:r>
    </w:p>
    <w:p>
      <w:r>
        <w:t>standards and policy.</w:t>
      </w:r>
    </w:p>
    <w:p>
      <w:r>
        <w:t>SUPPLEMENTARY INFORMATION:</w:t>
      </w:r>
    </w:p>
    <w:p>
      <w:r>
        <w:t>Background</w:t>
      </w:r>
    </w:p>
    <w:p>
      <w:r>
        <w:t>In June 2023, the National Archives</w:t>
      </w:r>
    </w:p>
    <w:p>
      <w:r>
        <w:t>and Records Administration (NARA)</w:t>
      </w:r>
    </w:p>
    <w:p>
      <w:r>
        <w:t>released GRS Transmittal 34, which</w:t>
      </w:r>
    </w:p>
    <w:p>
      <w:r>
        <w:t>introduced a new schedule called GRS</w:t>
      </w:r>
    </w:p>
    <w:p>
      <w:r>
        <w:t>4.5 Digitizing Records to specifically</w:t>
      </w:r>
    </w:p>
    <w:p>
      <w:r>
        <w:t>address the handling of digitized source</w:t>
      </w:r>
    </w:p>
    <w:p>
      <w:r>
        <w:t>records. Previously, these records were</w:t>
      </w:r>
    </w:p>
    <w:p>
      <w:r>
        <w:t>covered under GRS 5.2 Transitory and</w:t>
      </w:r>
    </w:p>
    <w:p>
      <w:r>
        <w:t>Intermediary Records. With this update,</w:t>
      </w:r>
    </w:p>
    <w:p>
      <w:r>
        <w:t>we have revised 36 CFR 1236.36 to</w:t>
      </w:r>
    </w:p>
    <w:p>
      <w:r>
        <w:t>provide agencies with the proper</w:t>
      </w:r>
    </w:p>
    <w:p>
      <w:r>
        <w:t>authority for managing digitized</w:t>
      </w:r>
    </w:p>
    <w:p>
      <w:r>
        <w:t>temporary records. We also clarified</w:t>
      </w:r>
    </w:p>
    <w:p>
      <w:r>
        <w:t>language in § 1236.36 regarding when</w:t>
      </w:r>
    </w:p>
    <w:p>
      <w:r>
        <w:t>agencies may dispose of the scheduled</w:t>
      </w:r>
    </w:p>
    <w:p>
      <w:r>
        <w:t>source records.</w:t>
      </w:r>
    </w:p>
    <w:p>
      <w:r>
        <w:t>In subpart D, we previously used the</w:t>
      </w:r>
    </w:p>
    <w:p>
      <w:r>
        <w:t>term ‘‘original source records.’’</w:t>
      </w:r>
    </w:p>
    <w:p>
      <w:r>
        <w:t>However, we removed the word</w:t>
      </w:r>
    </w:p>
    <w:p>
      <w:r>
        <w:t>‘‘original’’ because the source records</w:t>
      </w:r>
    </w:p>
    <w:p>
      <w:r>
        <w:t>may or may not be the original versions.</w:t>
      </w:r>
    </w:p>
    <w:p>
      <w:r>
        <w:t>We are also making this change in the</w:t>
      </w:r>
    </w:p>
    <w:p>
      <w:r>
        <w:t>heading for § 1236.36. The term ‘‘source</w:t>
      </w:r>
    </w:p>
    <w:p>
      <w:r>
        <w:t>records’’ refers to the records that</w:t>
      </w:r>
    </w:p>
    <w:p>
      <w:r>
        <w:t>underwent digitization and validation</w:t>
      </w:r>
    </w:p>
    <w:p>
      <w:r>
        <w:t>as part of a digitization project.</w:t>
      </w:r>
    </w:p>
    <w:p>
      <w:r>
        <w:t>Finally, we have added guidance to</w:t>
      </w:r>
    </w:p>
    <w:p>
      <w:r>
        <w:t>§ 1236.30 directing agencies to manage</w:t>
      </w:r>
    </w:p>
    <w:p>
      <w:r>
        <w:t>temporary digital records according to</w:t>
      </w:r>
    </w:p>
    <w:p>
      <w:r>
        <w:t>the requirements in 36 CFR part 1236</w:t>
      </w:r>
    </w:p>
    <w:p>
      <w:r>
        <w:t>subparts A, B, and C.</w:t>
      </w:r>
    </w:p>
    <w:p>
      <w:r>
        <w:t>Regulatory Analysis</w:t>
      </w:r>
    </w:p>
    <w:p/>
    <w:p>
      <w:r>
        <w:t>ddrumheller on DSK120RN23PROD with RULES1</w:t>
      </w:r>
    </w:p>
    <w:p/>
    <w:p>
      <w:r>
        <w:t>Executive Order 12866, Regulatory</w:t>
      </w:r>
    </w:p>
    <w:p>
      <w:r>
        <w:t>Planning and Review, and Executive</w:t>
      </w:r>
    </w:p>
    <w:p>
      <w:r>
        <w:t>Order 13563, Improving Regulation and</w:t>
      </w:r>
    </w:p>
    <w:p>
      <w:r>
        <w:t>Regulation Review</w:t>
      </w:r>
    </w:p>
    <w:p>
      <w:r>
        <w:t>The Office of Management and Budget</w:t>
      </w:r>
    </w:p>
    <w:p>
      <w:r>
        <w:t>(OMB) has reviewed this rulemaking</w:t>
      </w:r>
    </w:p>
    <w:p>
      <w:r>
        <w:t>and determined it is not ‘‘significant’’</w:t>
      </w:r>
    </w:p>
    <w:p>
      <w:r>
        <w:t>under section 3(f) of Executive Order</w:t>
      </w:r>
    </w:p>
    <w:p>
      <w:r>
        <w:t>12866. It is not significant because it</w:t>
      </w:r>
    </w:p>
    <w:p>
      <w:r>
        <w:t>applies only to Federal agencies,</w:t>
      </w:r>
    </w:p>
    <w:p>
      <w:r>
        <w:t>updates the regulations due to a</w:t>
      </w:r>
    </w:p>
    <w:p>
      <w:r>
        <w:t>statutory requirement, the new</w:t>
      </w:r>
    </w:p>
    <w:p>
      <w:r>
        <w:t>requirements are being added to clarify</w:t>
      </w:r>
    </w:p>
    <w:p>
      <w:r>
        <w:t>ones that agencies have already been</w:t>
      </w:r>
    </w:p>
    <w:p>
      <w:r>
        <w:t>required to follow, and is not</w:t>
      </w:r>
    </w:p>
    <w:p>
      <w:r>
        <w:t>establishing a new program. The</w:t>
      </w:r>
    </w:p>
    <w:p>
      <w:r>
        <w:t>requirements are necessary to comply</w:t>
      </w:r>
    </w:p>
    <w:p>
      <w:r>
        <w:t>with statute and to ensure agencies are</w:t>
      </w:r>
    </w:p>
    <w:p>
      <w:r>
        <w:t>appropriately preserving records.</w:t>
      </w:r>
    </w:p>
    <w:p/>
    <w:p>
      <w:r>
        <w:t>VerDate Sep&lt;11&gt;2014</w:t>
      </w:r>
    </w:p>
    <w:p/>
    <w:p>
      <w:r>
        <w:t>15:52 May 29, 2024</w:t>
      </w:r>
    </w:p>
    <w:p/>
    <w:p>
      <w:r>
        <w:t>Jkt 262001</w:t>
      </w:r>
    </w:p>
    <w:p/>
    <w:p>
      <w:r>
        <w:t>This review requires an agency to</w:t>
      </w:r>
    </w:p>
    <w:p>
      <w:r>
        <w:t>prepare an initial regulatory flexibility</w:t>
      </w:r>
    </w:p>
    <w:p>
      <w:r>
        <w:t>analysis and publish it when the agency</w:t>
      </w:r>
    </w:p>
    <w:p>
      <w:r>
        <w:t>publishes the proposed rule. This</w:t>
      </w:r>
    </w:p>
    <w:p>
      <w:r>
        <w:t>requirement does not apply if the</w:t>
      </w:r>
    </w:p>
    <w:p>
      <w:r>
        <w:t>agency certifies that the rulemaking will</w:t>
      </w:r>
    </w:p>
    <w:p>
      <w:r>
        <w:t>not, if promulgated, have a significant</w:t>
      </w:r>
    </w:p>
    <w:p>
      <w:r>
        <w:t>economic impact on a substantial</w:t>
      </w:r>
    </w:p>
    <w:p>
      <w:r>
        <w:t>number of small entities (5 U.S.C. 603).</w:t>
      </w:r>
    </w:p>
    <w:p>
      <w:r>
        <w:t>We certify, after review and analysis,</w:t>
      </w:r>
    </w:p>
    <w:p>
      <w:r>
        <w:t>that this rulemaking will not have a</w:t>
      </w:r>
    </w:p>
    <w:p>
      <w:r>
        <w:t>significant adverse economic impact on</w:t>
      </w:r>
    </w:p>
    <w:p>
      <w:r>
        <w:t>small entities.</w:t>
      </w:r>
    </w:p>
    <w:p>
      <w:r>
        <w:t>Paperwork Reduction Act of 1995 (44</w:t>
      </w:r>
    </w:p>
    <w:p>
      <w:r>
        <w:t>U.S.C. 3501 et seq.)</w:t>
      </w:r>
    </w:p>
    <w:p>
      <w:r>
        <w:t>The Paperwork Reduction Act of 1995</w:t>
      </w:r>
    </w:p>
    <w:p>
      <w:r>
        <w:t>(PRA) (44 U.S.C. 3501, et seq.) requires</w:t>
      </w:r>
    </w:p>
    <w:p>
      <w:r>
        <w:t>that agencies consider the impact of</w:t>
      </w:r>
    </w:p>
    <w:p>
      <w:r>
        <w:t>paperwork and other information</w:t>
      </w:r>
    </w:p>
    <w:p>
      <w:r>
        <w:t>collection burdens imposed on the</w:t>
      </w:r>
    </w:p>
    <w:p>
      <w:r>
        <w:t>public and, under the provisions of PRA</w:t>
      </w:r>
    </w:p>
    <w:p>
      <w:r>
        <w:t>section 3507(d), obtain approval from</w:t>
      </w:r>
    </w:p>
    <w:p>
      <w:r>
        <w:t>OMB for each collection of information</w:t>
      </w:r>
    </w:p>
    <w:p>
      <w:r>
        <w:t>we conduct, sponsor, or require through</w:t>
      </w:r>
    </w:p>
    <w:p>
      <w:r>
        <w:t>regulations. This rulemaking does not</w:t>
      </w:r>
    </w:p>
    <w:p>
      <w:r>
        <w:t>impose additional information</w:t>
      </w:r>
    </w:p>
    <w:p>
      <w:r>
        <w:t>collection requirements on the public</w:t>
      </w:r>
    </w:p>
    <w:p>
      <w:r>
        <w:t>that are subject to the Paperwork</w:t>
      </w:r>
    </w:p>
    <w:p>
      <w:r>
        <w:t>Reduction Act.</w:t>
      </w:r>
    </w:p>
    <w:p>
      <w:r>
        <w:t>Executive Order 13132, Federalism</w:t>
      </w:r>
    </w:p>
    <w:p>
      <w:r>
        <w:t>Executive Order 13132 requires</w:t>
      </w:r>
    </w:p>
    <w:p>
      <w:r>
        <w:t>agencies to ensure State and local</w:t>
      </w:r>
    </w:p>
    <w:p>
      <w:r>
        <w:t>officials have the opportunity for</w:t>
      </w:r>
    </w:p>
    <w:p>
      <w:r>
        <w:t>meaningful and timely input when</w:t>
      </w:r>
    </w:p>
    <w:p>
      <w:r>
        <w:t>developing regulatory policies that may</w:t>
      </w:r>
    </w:p>
    <w:p>
      <w:r>
        <w:t>have a substantial, direct effect on the</w:t>
      </w:r>
    </w:p>
    <w:p>
      <w:r>
        <w:t>States, on the relationship between the</w:t>
      </w:r>
    </w:p>
    <w:p>
      <w:r>
        <w:t>Federal Government and the States, or</w:t>
      </w:r>
    </w:p>
    <w:p>
      <w:r>
        <w:t>on the distribution of power and</w:t>
      </w:r>
    </w:p>
    <w:p>
      <w:r>
        <w:t>responsibilities among the various</w:t>
      </w:r>
    </w:p>
    <w:p>
      <w:r>
        <w:t>levels of government. If the effects of the</w:t>
      </w:r>
    </w:p>
    <w:p>
      <w:r>
        <w:t>rule on State and local governments are</w:t>
      </w:r>
    </w:p>
    <w:p>
      <w:r>
        <w:t>sufficiently substantial, the agency must</w:t>
      </w:r>
    </w:p>
    <w:p>
      <w:r>
        <w:t>prepare a Federal assessment to assist</w:t>
      </w:r>
    </w:p>
    <w:p>
      <w:r>
        <w:t>senior policymakers. This rulemaking</w:t>
      </w:r>
    </w:p>
    <w:p>
      <w:r>
        <w:t>will not have any effects on State and</w:t>
      </w:r>
    </w:p>
    <w:p>
      <w:r>
        <w:t>local governments within the meaning</w:t>
      </w:r>
    </w:p>
    <w:p>
      <w:r>
        <w:t>of the E.O. Therefore, no federalism</w:t>
      </w:r>
    </w:p>
    <w:p>
      <w:r>
        <w:t>assessment is required.</w:t>
      </w:r>
    </w:p>
    <w:p>
      <w:r>
        <w:t>Unfunded Mandates Reform Act (Sec.</w:t>
      </w:r>
    </w:p>
    <w:p>
      <w:r>
        <w:t>202, Pub. L. 104–4; 2 U.S.C. 1532)</w:t>
      </w:r>
    </w:p>
    <w:p>
      <w:r>
        <w:t>The Unfunded Mandates Reform Act</w:t>
      </w:r>
    </w:p>
    <w:p>
      <w:r>
        <w:t>requires that agencies determine</w:t>
      </w:r>
    </w:p>
    <w:p>
      <w:r>
        <w:t>whether any Federal mandate in the</w:t>
      </w:r>
    </w:p>
    <w:p>
      <w:r>
        <w:t>rulemaking may result in State, local,</w:t>
      </w:r>
    </w:p>
    <w:p>
      <w:r>
        <w:t>and Tribal governments, in the</w:t>
      </w:r>
    </w:p>
    <w:p>
      <w:r>
        <w:t>aggregate, or the private sector,</w:t>
      </w:r>
    </w:p>
    <w:p>
      <w:r>
        <w:t>expending $100 million in any one year.</w:t>
      </w:r>
    </w:p>
    <w:p>
      <w:r>
        <w:t>NARA certifies that this rulemaking</w:t>
      </w:r>
    </w:p>
    <w:p>
      <w:r>
        <w:t>does not contain a Federal mandate that</w:t>
      </w:r>
    </w:p>
    <w:p>
      <w:r>
        <w:t>may result in such an expenditure.</w:t>
      </w:r>
    </w:p>
    <w:p/>
    <w:p>
      <w:r>
        <w:t>PO 00000</w:t>
      </w:r>
    </w:p>
    <w:p/>
    <w:p>
      <w:r>
        <w:t>Frm 00008</w:t>
      </w:r>
    </w:p>
    <w:p/>
    <w:p>
      <w:r>
        <w:t>Fmt 4700</w:t>
      </w:r>
    </w:p>
    <w:p/>
    <w:p>
      <w:r>
        <w:t>Sfmt 4700</w:t>
      </w:r>
    </w:p>
    <w:p/>
    <w:p>
      <w:r>
        <w:t>List of Subjects in 36 CFR Part 1236</w:t>
      </w:r>
    </w:p>
    <w:p>
      <w:r>
        <w:t>Archives and records, Digital records,</w:t>
      </w:r>
    </w:p>
    <w:p>
      <w:r>
        <w:t>Digitization, Records management.</w:t>
      </w:r>
    </w:p>
    <w:p>
      <w:r>
        <w:t>For the reasons discussed in the</w:t>
      </w:r>
    </w:p>
    <w:p>
      <w:r>
        <w:t>preamble, NARA amends 36 CFR part</w:t>
      </w:r>
    </w:p>
    <w:p>
      <w:r>
        <w:t>1236 as follows:</w:t>
      </w:r>
    </w:p>
    <w:p>
      <w:r>
        <w:t>PART 1236—ELECTRONIC RECORDS</w:t>
      </w:r>
    </w:p>
    <w:p>
      <w:r>
        <w:t>MANAGEMENT</w:t>
      </w:r>
    </w:p>
    <w:p>
      <w:r>
        <w:t>■ 1. The authority citation for part 1236</w:t>
      </w:r>
    </w:p>
    <w:p/>
    <w:p>
      <w:r>
        <w:t>continues to read as follows;</w:t>
      </w:r>
    </w:p>
    <w:p>
      <w:r>
        <w:t>Authority: 44 U.S.C. 2904, 3101, 3102,</w:t>
      </w:r>
    </w:p>
    <w:p>
      <w:r>
        <w:t>3105, 3301, 3302, and 3312.</w:t>
      </w:r>
    </w:p>
    <w:p>
      <w:r>
        <w:t>■ 2. Revise § 1236.30 to read as follows:</w:t>
      </w:r>
    </w:p>
    <w:p/>
    <w:p>
      <w:r>
        <w:t>§ 1236.30 Requirements for digitizing</w:t>
      </w:r>
    </w:p>
    <w:p>
      <w:r>
        <w:t>temporary records.</w:t>
      </w:r>
    </w:p>
    <w:p/>
    <w:p>
      <w:r>
        <w:t>(a) If an agency intends to digitally</w:t>
      </w:r>
    </w:p>
    <w:p>
      <w:r>
        <w:t>reproduce (digitize) temporary records</w:t>
      </w:r>
    </w:p>
    <w:p>
      <w:r>
        <w:t>in order to use the digitized records in</w:t>
      </w:r>
    </w:p>
    <w:p>
      <w:r>
        <w:t>place of the source records, the agency</w:t>
      </w:r>
    </w:p>
    <w:p>
      <w:r>
        <w:t>must:</w:t>
      </w:r>
    </w:p>
    <w:p>
      <w:r>
        <w:t>(1) Digitize the record to the standards</w:t>
      </w:r>
    </w:p>
    <w:p>
      <w:r>
        <w:t>in § 1236.32;</w:t>
      </w:r>
    </w:p>
    <w:p>
      <w:r>
        <w:t>(2) Validate the digitization according</w:t>
      </w:r>
    </w:p>
    <w:p>
      <w:r>
        <w:t>to § 1236.34; and</w:t>
      </w:r>
    </w:p>
    <w:p>
      <w:r>
        <w:t>(3) Manage the digital records</w:t>
      </w:r>
    </w:p>
    <w:p>
      <w:r>
        <w:t>according to the requirements in</w:t>
      </w:r>
    </w:p>
    <w:p>
      <w:r>
        <w:t>subparts A, B, and C of this part.</w:t>
      </w:r>
    </w:p>
    <w:p>
      <w:r>
        <w:t>(b) When an agency disposes of</w:t>
      </w:r>
    </w:p>
    <w:p>
      <w:r>
        <w:t>source records, the agency must follow</w:t>
      </w:r>
    </w:p>
    <w:p>
      <w:r>
        <w:t>the requirements in § 1236.36.</w:t>
      </w:r>
    </w:p>
    <w:p>
      <w:r>
        <w:t>■ 3. In § 1236.32, revise paragraphs (a),</w:t>
      </w:r>
    </w:p>
    <w:p>
      <w:r>
        <w:t>(b), and (c) to read as follows:</w:t>
      </w:r>
    </w:p>
    <w:p>
      <w:r>
        <w:t>§ 1236.32</w:t>
      </w:r>
    </w:p>
    <w:p/>
    <w:p>
      <w:r>
        <w:t>Digitization standards.</w:t>
      </w:r>
    </w:p>
    <w:p/>
    <w:p>
      <w:r>
        <w:t>*</w:t>
      </w:r>
    </w:p>
    <w:p/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(a) Capture all information contained</w:t>
      </w:r>
    </w:p>
    <w:p>
      <w:r>
        <w:t>in the source records;</w:t>
      </w:r>
    </w:p>
    <w:p>
      <w:r>
        <w:t>(b) Include all the pages or parts from</w:t>
      </w:r>
    </w:p>
    <w:p>
      <w:r>
        <w:t>the source records;</w:t>
      </w:r>
    </w:p>
    <w:p>
      <w:r>
        <w:t>(c) Ensure the agency can use the</w:t>
      </w:r>
    </w:p>
    <w:p>
      <w:r>
        <w:t>digitized records for all the purposes the</w:t>
      </w:r>
    </w:p>
    <w:p>
      <w:r>
        <w:t>source records serve, including the</w:t>
      </w:r>
    </w:p>
    <w:p>
      <w:r>
        <w:t>ability to attest to transactions and</w:t>
      </w:r>
    </w:p>
    <w:p>
      <w:r>
        <w:t>activities;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4. In § 1236.34, revise paragraphs (a)</w:t>
      </w:r>
    </w:p>
    <w:p>
      <w:r>
        <w:t>and (b) to read as follows:</w:t>
      </w:r>
    </w:p>
    <w:p>
      <w:r>
        <w:t>§ 1236.34</w:t>
      </w:r>
    </w:p>
    <w:p/>
    <w:p>
      <w:r>
        <w:t>Validating digitization.</w:t>
      </w:r>
    </w:p>
    <w:p/>
    <w:p>
      <w:r>
        <w:t>(a) Agencies must validate that the</w:t>
      </w:r>
    </w:p>
    <w:p>
      <w:r>
        <w:t>digitized records are of suitable quality</w:t>
      </w:r>
    </w:p>
    <w:p>
      <w:r>
        <w:t>to replace source records.</w:t>
      </w:r>
    </w:p>
    <w:p>
      <w:r>
        <w:t>(b) Agencies may establish their own</w:t>
      </w:r>
    </w:p>
    <w:p>
      <w:r>
        <w:t>validation process or use third-party</w:t>
      </w:r>
    </w:p>
    <w:p>
      <w:r>
        <w:t>processes to validate that the digitized</w:t>
      </w:r>
    </w:p>
    <w:p>
      <w:r>
        <w:t>records comply with § 1236.32. The</w:t>
      </w:r>
    </w:p>
    <w:p>
      <w:r>
        <w:t>process may be project-based or agencywide policy.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*</w:t>
      </w:r>
    </w:p>
    <w:p>
      <w:r>
        <w:t>■ 5. Revise § 1236.36 to read as follows:</w:t>
      </w:r>
    </w:p>
    <w:p>
      <w:r>
        <w:t>§ 1236.36</w:t>
      </w:r>
    </w:p>
    <w:p/>
    <w:p>
      <w:r>
        <w:t>Disposing of source records.</w:t>
      </w:r>
    </w:p>
    <w:p/>
    <w:p>
      <w:r>
        <w:t>(a) When an agency disposes of source</w:t>
      </w:r>
    </w:p>
    <w:p>
      <w:r>
        <w:t>records, it must have an approved</w:t>
      </w:r>
    </w:p>
    <w:p>
      <w:r>
        <w:t>agency records schedule or identify an</w:t>
      </w:r>
    </w:p>
    <w:p>
      <w:r>
        <w:t>applicable General Records Schedule.</w:t>
      </w:r>
    </w:p>
    <w:p/>
    <w:p>
      <w:r>
        <w:t>E:\FR\FM\30MYR1.SGM</w:t>
      </w:r>
    </w:p>
    <w:p/>
    <w:p>
      <w:r>
        <w:t>30MYR1</w:t>
      </w:r>
    </w:p>
    <w:p/>
    <w:p/>
    <w:p>
      <w:r>
        <w:t>Federal Register / Vol. 89, No. 105 / Thursday, May 30, 2024 / Rules and Regulations</w:t>
      </w:r>
    </w:p>
    <w:p>
      <w:r>
        <w:t>(b) When an agency has validated that</w:t>
      </w:r>
    </w:p>
    <w:p>
      <w:r>
        <w:t>the digitized versions meet the</w:t>
      </w:r>
    </w:p>
    <w:p>
      <w:r>
        <w:t>standards in § 1236.32, the agency may</w:t>
      </w:r>
    </w:p>
    <w:p>
      <w:r>
        <w:t>destroy the source records according to</w:t>
      </w:r>
    </w:p>
    <w:p>
      <w:r>
        <w:t>General Records Schedule (GRS) 4.5</w:t>
      </w:r>
    </w:p>
    <w:p>
      <w:r>
        <w:t>Digitizing Records.</w:t>
      </w:r>
    </w:p>
    <w:p>
      <w:r>
        <w:t>(c) Agencies must consider any</w:t>
      </w:r>
    </w:p>
    <w:p>
      <w:r>
        <w:t>existing legal restrictions, such as a</w:t>
      </w:r>
    </w:p>
    <w:p>
      <w:r>
        <w:t>litigation hold, before destroying the</w:t>
      </w:r>
    </w:p>
    <w:p>
      <w:r>
        <w:t>source records.</w:t>
      </w:r>
    </w:p>
    <w:p>
      <w:r>
        <w:t>(d) Agencies must manage the</w:t>
      </w:r>
    </w:p>
    <w:p>
      <w:r>
        <w:t>digitized records in the same way it</w:t>
      </w:r>
    </w:p>
    <w:p>
      <w:r>
        <w:t>would have managed the source</w:t>
      </w:r>
    </w:p>
    <w:p>
      <w:r>
        <w:t>records. Agencies must retain the</w:t>
      </w:r>
    </w:p>
    <w:p>
      <w:r>
        <w:t>digitized records for the remaining</w:t>
      </w:r>
    </w:p>
    <w:p>
      <w:r>
        <w:t>portion of any retention period</w:t>
      </w:r>
    </w:p>
    <w:p>
      <w:r>
        <w:t>established by the applicable records</w:t>
      </w:r>
    </w:p>
    <w:p>
      <w:r>
        <w:t>schedule.</w:t>
      </w:r>
    </w:p>
    <w:p>
      <w:r>
        <w:t>(e) Agencies do not need NARA</w:t>
      </w:r>
    </w:p>
    <w:p>
      <w:r>
        <w:t>approval to destroy scheduled</w:t>
      </w:r>
    </w:p>
    <w:p>
      <w:r>
        <w:t>temporary source records they have</w:t>
      </w:r>
    </w:p>
    <w:p>
      <w:r>
        <w:t>digitized according to this part.</w:t>
      </w:r>
    </w:p>
    <w:p/>
    <w:p>
      <w:r>
        <w:t>section 803 of the James M. Inhofe</w:t>
      </w:r>
    </w:p>
    <w:p>
      <w:r>
        <w:t>National Defense Authorization Act</w:t>
      </w:r>
    </w:p>
    <w:p>
      <w:r>
        <w:t>(NDAA) for Fiscal Year (FY) 2023 (Pub.</w:t>
      </w:r>
    </w:p>
    <w:p>
      <w:r>
        <w:t>L. 117–263). Section 803 modifies 10</w:t>
      </w:r>
    </w:p>
    <w:p>
      <w:r>
        <w:t>U.S.C. 3455 to provide additional</w:t>
      </w:r>
    </w:p>
    <w:p>
      <w:r>
        <w:t>guidance regarding data requirements to</w:t>
      </w:r>
    </w:p>
    <w:p>
      <w:r>
        <w:t>support a determination of</w:t>
      </w:r>
    </w:p>
    <w:p>
      <w:r>
        <w:t>commerciality and price reasonableness</w:t>
      </w:r>
    </w:p>
    <w:p>
      <w:r>
        <w:t>for certain procurements associated</w:t>
      </w:r>
    </w:p>
    <w:p>
      <w:r>
        <w:t>with major weapon systems. Two</w:t>
      </w:r>
    </w:p>
    <w:p>
      <w:r>
        <w:t>respondents submitted public</w:t>
      </w:r>
    </w:p>
    <w:p>
      <w:r>
        <w:t>comments in response to the proposed</w:t>
      </w:r>
    </w:p>
    <w:p>
      <w:r>
        <w:t>rule.</w:t>
      </w:r>
    </w:p>
    <w:p/>
    <w:p>
      <w:r>
        <w:t>Colleen J. Shogan,</w:t>
      </w:r>
    </w:p>
    <w:p>
      <w:r>
        <w:t>Archivist of the United States.</w:t>
      </w:r>
    </w:p>
    <w:p/>
    <w:p>
      <w:r>
        <w:t>There are no significant changes from</w:t>
      </w:r>
    </w:p>
    <w:p>
      <w:r>
        <w:t>the proposed rule.</w:t>
      </w:r>
    </w:p>
    <w:p/>
    <w:p>
      <w:r>
        <w:t>[FR Doc. 2024–11910 Filed 5–29–24; 8:45 am]</w:t>
      </w:r>
    </w:p>
    <w:p/>
    <w:p>
      <w:r>
        <w:t>II. Discussion and Analysis</w:t>
      </w:r>
    </w:p>
    <w:p>
      <w:r>
        <w:t>DoD reviewed the public comments in</w:t>
      </w:r>
    </w:p>
    <w:p>
      <w:r>
        <w:t>the development of the final rule. A</w:t>
      </w:r>
    </w:p>
    <w:p>
      <w:r>
        <w:t>discussion of the comments and the</w:t>
      </w:r>
    </w:p>
    <w:p>
      <w:r>
        <w:t>changes made to the rule as a result of</w:t>
      </w:r>
    </w:p>
    <w:p>
      <w:r>
        <w:t>those comments is provided as follows:</w:t>
      </w:r>
    </w:p>
    <w:p>
      <w:r>
        <w:t>A. Summary of Significant Changes</w:t>
      </w:r>
    </w:p>
    <w:p>
      <w:r>
        <w:t>From the Proposed Rule</w:t>
      </w:r>
    </w:p>
    <w:p/>
    <w:p>
      <w:r>
        <w:t>B. Analysis of Public Comments</w:t>
      </w:r>
    </w:p>
    <w:p/>
    <w:p>
      <w:r>
        <w:t>BILLING CODE P</w:t>
      </w:r>
    </w:p>
    <w:p/>
    <w:p>
      <w:r>
        <w:t>1. Negative Impacts of the Rule</w:t>
      </w:r>
    </w:p>
    <w:p>
      <w:r>
        <w:t>DEPARTMENT OF DEFENSE</w:t>
      </w:r>
    </w:p>
    <w:p>
      <w:r>
        <w:t>Defense Acquisition Regulations</w:t>
      </w:r>
    </w:p>
    <w:p>
      <w:r>
        <w:t>System</w:t>
      </w:r>
    </w:p>
    <w:p>
      <w:r>
        <w:t>48 CFR Parts 212, 215, 234, and 252</w:t>
      </w:r>
    </w:p>
    <w:p>
      <w:r>
        <w:t>[Docket DARS–2023–0047]</w:t>
      </w:r>
    </w:p>
    <w:p>
      <w:r>
        <w:t>RIN 0750–AL83</w:t>
      </w:r>
    </w:p>
    <w:p/>
    <w:p>
      <w:r>
        <w:t>Defense Federal Acquisition</w:t>
      </w:r>
    </w:p>
    <w:p>
      <w:r>
        <w:t>Regulation Supplement: Data</w:t>
      </w:r>
    </w:p>
    <w:p>
      <w:r>
        <w:t>Requirements for Commercial</w:t>
      </w:r>
    </w:p>
    <w:p>
      <w:r>
        <w:t>Products for Major Weapon Systems</w:t>
      </w:r>
    </w:p>
    <w:p>
      <w:r>
        <w:t>(DFARS Case 2023–D010)</w:t>
      </w:r>
    </w:p>
    <w:p>
      <w:r>
        <w:t>AGENCY: Defense Acquisition</w:t>
      </w:r>
    </w:p>
    <w:p/>
    <w:p>
      <w:r>
        <w:t>Regulations System, Department of</w:t>
      </w:r>
    </w:p>
    <w:p>
      <w:r>
        <w:t>Defense (DoD).</w:t>
      </w:r>
    </w:p>
    <w:p>
      <w:r>
        <w:t>ACTION: Final rule.</w:t>
      </w:r>
    </w:p>
    <w:p/>
    <w:p>
      <w:r>
        <w:t>ddrumheller on DSK120RN23PROD with RULES1</w:t>
      </w:r>
    </w:p>
    <w:p/>
    <w:p>
      <w:r>
        <w:t>SUMMARY: DoD is issuing a final rule</w:t>
      </w:r>
    </w:p>
    <w:p/>
    <w:p>
      <w:r>
        <w:t>amending the Defense Federal</w:t>
      </w:r>
    </w:p>
    <w:p>
      <w:r>
        <w:t>Acquisition Regulation Supplement</w:t>
      </w:r>
    </w:p>
    <w:p>
      <w:r>
        <w:t>(DFARS) to implement a section of the</w:t>
      </w:r>
    </w:p>
    <w:p>
      <w:r>
        <w:t>James M. Inhofe National Defense</w:t>
      </w:r>
    </w:p>
    <w:p>
      <w:r>
        <w:t>Authorization Act for Fiscal Year 2023</w:t>
      </w:r>
    </w:p>
    <w:p>
      <w:r>
        <w:t>that clarifies the data to be provided for</w:t>
      </w:r>
    </w:p>
    <w:p>
      <w:r>
        <w:t>certain procurements related to major</w:t>
      </w:r>
    </w:p>
    <w:p>
      <w:r>
        <w:t>weapon systems.</w:t>
      </w:r>
    </w:p>
    <w:p>
      <w:r>
        <w:t>DATES: Effective May 30, 2024.</w:t>
      </w:r>
    </w:p>
    <w:p>
      <w:r>
        <w:t>FOR FURTHER INFORMATION CONTACT: Ms.</w:t>
      </w:r>
    </w:p>
    <w:p>
      <w:r>
        <w:t>Jeanette Snyder, telephone 703–508–</w:t>
      </w:r>
    </w:p>
    <w:p>
      <w:r>
        <w:t>7524.</w:t>
      </w:r>
    </w:p>
    <w:p>
      <w:r>
        <w:t>SUPPLEMENTARY INFORMATION:</w:t>
      </w:r>
    </w:p>
    <w:p/>
    <w:p>
      <w:r>
        <w:t>I. Background</w:t>
      </w:r>
    </w:p>
    <w:p>
      <w:r>
        <w:t>DoD published a proposed rule in the</w:t>
      </w:r>
    </w:p>
    <w:p>
      <w:r>
        <w:t>Federal Register at 88 FR 88554 on</w:t>
      </w:r>
    </w:p>
    <w:p>
      <w:r>
        <w:t>December 22, 2023, to implement</w:t>
      </w:r>
    </w:p>
    <w:p/>
    <w:p>
      <w:r>
        <w:t>VerDate Sep&lt;11&gt;2014</w:t>
      </w:r>
    </w:p>
    <w:p/>
    <w:p>
      <w:r>
        <w:t>15:52 May 29, 2024</w:t>
      </w:r>
    </w:p>
    <w:p/>
    <w:p>
      <w:r>
        <w:t>Jkt 262001</w:t>
      </w:r>
    </w:p>
    <w:p/>
    <w:p>
      <w:r>
        <w:t>Comment: One respondent indicated</w:t>
      </w:r>
    </w:p>
    <w:p>
      <w:r>
        <w:t>that the requirement to provide</w:t>
      </w:r>
    </w:p>
    <w:p>
      <w:r>
        <w:t>expanded data in support of commercial</w:t>
      </w:r>
    </w:p>
    <w:p>
      <w:r>
        <w:t>products added by section 803 presents</w:t>
      </w:r>
    </w:p>
    <w:p>
      <w:r>
        <w:t>a significant burden and risk to</w:t>
      </w:r>
    </w:p>
    <w:p>
      <w:r>
        <w:t>contractors. Many defense industrial</w:t>
      </w:r>
    </w:p>
    <w:p>
      <w:r>
        <w:t>base suppliers are commercial</w:t>
      </w:r>
    </w:p>
    <w:p>
      <w:r>
        <w:t>companies that also offer their products</w:t>
      </w:r>
    </w:p>
    <w:p>
      <w:r>
        <w:t>and services to DoD. For these</w:t>
      </w:r>
    </w:p>
    <w:p>
      <w:r>
        <w:t>suppliers, the statutory obligation to</w:t>
      </w:r>
    </w:p>
    <w:p>
      <w:r>
        <w:t>comply with the expanded data</w:t>
      </w:r>
    </w:p>
    <w:p>
      <w:r>
        <w:t>requirements will force commercial</w:t>
      </w:r>
    </w:p>
    <w:p>
      <w:r>
        <w:t>businesses to implement a compliance</w:t>
      </w:r>
    </w:p>
    <w:p>
      <w:r>
        <w:t>infrastructure to segregate and archive</w:t>
      </w:r>
    </w:p>
    <w:p>
      <w:r>
        <w:t>business data. The additional cost</w:t>
      </w:r>
    </w:p>
    <w:p>
      <w:r>
        <w:t>associated with this cannot be offset by</w:t>
      </w:r>
    </w:p>
    <w:p>
      <w:r>
        <w:t>raising product prices in a competitive</w:t>
      </w:r>
    </w:p>
    <w:p>
      <w:r>
        <w:t>commercial marketplace and is of no</w:t>
      </w:r>
    </w:p>
    <w:p>
      <w:r>
        <w:t>value to commercial buyers. As such,</w:t>
      </w:r>
    </w:p>
    <w:p>
      <w:r>
        <w:t>many of these suppliers may simply</w:t>
      </w:r>
    </w:p>
    <w:p>
      <w:r>
        <w:t>forgo the opportunity to enter into</w:t>
      </w:r>
    </w:p>
    <w:p>
      <w:r>
        <w:t>contracts with DoD. In addition, the</w:t>
      </w:r>
    </w:p>
    <w:p>
      <w:r>
        <w:t>requirements for disclosure increase the</w:t>
      </w:r>
    </w:p>
    <w:p>
      <w:r>
        <w:t>risk that highly sensitive commercial</w:t>
      </w:r>
    </w:p>
    <w:p>
      <w:r>
        <w:t>sales data will be disclosed to</w:t>
      </w:r>
    </w:p>
    <w:p>
      <w:r>
        <w:t>competitors, which creates a significant</w:t>
      </w:r>
    </w:p>
    <w:p>
      <w:r>
        <w:t>business risk for small and mediumsized suppliers.</w:t>
      </w:r>
    </w:p>
    <w:p>
      <w:r>
        <w:t>Response: This rule implements the</w:t>
      </w:r>
    </w:p>
    <w:p>
      <w:r>
        <w:t>additional guidance provided in section</w:t>
      </w:r>
    </w:p>
    <w:p>
      <w:r>
        <w:t>803 of the NDAA for FY 2023 regarding</w:t>
      </w:r>
    </w:p>
    <w:p>
      <w:r>
        <w:t>data requirements to support a</w:t>
      </w:r>
    </w:p>
    <w:p>
      <w:r>
        <w:t>determination of commerciality and a</w:t>
      </w:r>
    </w:p>
    <w:p>
      <w:r>
        <w:t>determination of price reasonableness</w:t>
      </w:r>
    </w:p>
    <w:p>
      <w:r>
        <w:t>for certain procurements associated</w:t>
      </w:r>
    </w:p>
    <w:p>
      <w:r>
        <w:t>with major weapon systems. For the</w:t>
      </w:r>
    </w:p>
    <w:p>
      <w:r>
        <w:t>commerciality determination, section</w:t>
      </w:r>
    </w:p>
    <w:p>
      <w:r>
        <w:t>803, as implemented in this rule, allows</w:t>
      </w:r>
    </w:p>
    <w:p>
      <w:r>
        <w:t>contractors to, for example, identify the</w:t>
      </w:r>
    </w:p>
    <w:p>
      <w:r>
        <w:t>comparable commercial product it sells</w:t>
      </w:r>
    </w:p>
    <w:p/>
    <w:p>
      <w:r>
        <w:t>PO 00000</w:t>
      </w:r>
    </w:p>
    <w:p/>
    <w:p>
      <w:r>
        <w:t>Frm 00009</w:t>
      </w:r>
    </w:p>
    <w:p/>
    <w:p>
      <w:r>
        <w:t>Fmt 4700</w:t>
      </w:r>
    </w:p>
    <w:p/>
    <w:p>
      <w:r>
        <w:t>Sfmt 4700</w:t>
      </w:r>
    </w:p>
    <w:p/>
    <w:p>
      <w:r>
        <w:t>46805</w:t>
      </w:r>
    </w:p>
    <w:p/>
    <w:p>
      <w:r>
        <w:t>or that is sold in the commercial market</w:t>
      </w:r>
    </w:p>
    <w:p>
      <w:r>
        <w:t>and provide the contracting officer a</w:t>
      </w:r>
    </w:p>
    <w:p>
      <w:r>
        <w:t>comparison between the physical</w:t>
      </w:r>
    </w:p>
    <w:p>
      <w:r>
        <w:t>characteristics and functionality of such</w:t>
      </w:r>
    </w:p>
    <w:p>
      <w:r>
        <w:t>a product and the subsystem,</w:t>
      </w:r>
    </w:p>
    <w:p>
      <w:r>
        <w:t>component, or spare part, if available.</w:t>
      </w:r>
    </w:p>
    <w:p>
      <w:r>
        <w:t>For the price reasonableness</w:t>
      </w:r>
    </w:p>
    <w:p>
      <w:r>
        <w:t>determination, section 803, as</w:t>
      </w:r>
    </w:p>
    <w:p>
      <w:r>
        <w:t>implemented in this rule, allows the</w:t>
      </w:r>
    </w:p>
    <w:p>
      <w:r>
        <w:t>offeror to provide or give the contracting</w:t>
      </w:r>
    </w:p>
    <w:p>
      <w:r>
        <w:t>officer access to a representative sample</w:t>
      </w:r>
    </w:p>
    <w:p>
      <w:r>
        <w:t>of prices paid for the same or similar</w:t>
      </w:r>
    </w:p>
    <w:p>
      <w:r>
        <w:t>commercial products under comparable</w:t>
      </w:r>
    </w:p>
    <w:p>
      <w:r>
        <w:t>terms and conditions and, if not</w:t>
      </w:r>
    </w:p>
    <w:p>
      <w:r>
        <w:t>feasible, to provide the prices paid for</w:t>
      </w:r>
    </w:p>
    <w:p>
      <w:r>
        <w:t>the same or similar commercial</w:t>
      </w:r>
    </w:p>
    <w:p>
      <w:r>
        <w:t>products sold under different terms and</w:t>
      </w:r>
    </w:p>
    <w:p>
      <w:r>
        <w:t>conditions. In addition, offerors may</w:t>
      </w:r>
    </w:p>
    <w:p>
      <w:r>
        <w:t>redact customer information, which</w:t>
      </w:r>
    </w:p>
    <w:p>
      <w:r>
        <w:t>alleviates any business risk. This</w:t>
      </w:r>
    </w:p>
    <w:p>
      <w:r>
        <w:t>information should be readily available</w:t>
      </w:r>
    </w:p>
    <w:p>
      <w:r>
        <w:t>to commercial companies via their sales</w:t>
      </w:r>
    </w:p>
    <w:p>
      <w:r>
        <w:t>records, so companies should not need</w:t>
      </w:r>
    </w:p>
    <w:p>
      <w:r>
        <w:t>to establish a compliance infrastructure</w:t>
      </w:r>
    </w:p>
    <w:p>
      <w:r>
        <w:t>to segregate and archive business data.</w:t>
      </w:r>
    </w:p>
    <w:p>
      <w:r>
        <w:t>Therefore, this rule does not impose</w:t>
      </w:r>
    </w:p>
    <w:p>
      <w:r>
        <w:t>additional administrative costs or</w:t>
      </w:r>
    </w:p>
    <w:p>
      <w:r>
        <w:t>recordkeeping burdens on commercial</w:t>
      </w:r>
    </w:p>
    <w:p>
      <w:r>
        <w:t>companies that would cause them to no</w:t>
      </w:r>
    </w:p>
    <w:p>
      <w:r>
        <w:t>longer be willing to do business with</w:t>
      </w:r>
    </w:p>
    <w:p>
      <w:r>
        <w:t>DoD.</w:t>
      </w:r>
    </w:p>
    <w:p>
      <w:r>
        <w:t>Comment: One respondent indicated</w:t>
      </w:r>
    </w:p>
    <w:p>
      <w:r>
        <w:t>that the significant compliance burden</w:t>
      </w:r>
    </w:p>
    <w:p>
      <w:r>
        <w:t>and business risk levied by section 803</w:t>
      </w:r>
    </w:p>
    <w:p>
      <w:r>
        <w:t>will give commercial companies a</w:t>
      </w:r>
    </w:p>
    <w:p>
      <w:r>
        <w:t>choice of: (1) establishing and</w:t>
      </w:r>
    </w:p>
    <w:p>
      <w:r>
        <w:t>maintaining separate production lines</w:t>
      </w:r>
    </w:p>
    <w:p>
      <w:r>
        <w:t>for commercial and defense products; or</w:t>
      </w:r>
    </w:p>
    <w:p>
      <w:r>
        <w:t>(2) exiting the defense industrial base.</w:t>
      </w:r>
    </w:p>
    <w:p>
      <w:r>
        <w:t>Isolating defense production from</w:t>
      </w:r>
    </w:p>
    <w:p>
      <w:r>
        <w:t>commercial production requires</w:t>
      </w:r>
    </w:p>
    <w:p>
      <w:r>
        <w:t>substantial upfront investment in</w:t>
      </w:r>
    </w:p>
    <w:p>
      <w:r>
        <w:t>facilities and workforce and drives</w:t>
      </w:r>
    </w:p>
    <w:p>
      <w:r>
        <w:t>significant inefficiency in production.</w:t>
      </w:r>
    </w:p>
    <w:p>
      <w:r>
        <w:t>Given recent instability in DoD’s budget</w:t>
      </w:r>
    </w:p>
    <w:p>
      <w:r>
        <w:t>processes and timing, expanding</w:t>
      </w:r>
    </w:p>
    <w:p>
      <w:r>
        <w:t>capacity in this way may be unfeasible</w:t>
      </w:r>
    </w:p>
    <w:p>
      <w:r>
        <w:t>for many companies in today’s defense</w:t>
      </w:r>
    </w:p>
    <w:p>
      <w:r>
        <w:t>industrial base. The cause and effect of</w:t>
      </w:r>
    </w:p>
    <w:p>
      <w:r>
        <w:t>the changes made by section 803 will</w:t>
      </w:r>
    </w:p>
    <w:p>
      <w:r>
        <w:t>likely not only result in protracted</w:t>
      </w:r>
    </w:p>
    <w:p>
      <w:r>
        <w:t>acquisition cycle times but also</w:t>
      </w:r>
    </w:p>
    <w:p>
      <w:r>
        <w:t>adversely affect the cost of products</w:t>
      </w:r>
    </w:p>
    <w:p>
      <w:r>
        <w:t>sold to DoD and industry’s ability to</w:t>
      </w:r>
    </w:p>
    <w:p>
      <w:r>
        <w:t>deliver timely requirements in support</w:t>
      </w:r>
    </w:p>
    <w:p>
      <w:r>
        <w:t>of the warfighters. In addition, it is</w:t>
      </w:r>
    </w:p>
    <w:p>
      <w:r>
        <w:t>likely to increase sole-source suppliers</w:t>
      </w:r>
    </w:p>
    <w:p>
      <w:r>
        <w:t>and compound DoD’s current challenges</w:t>
      </w:r>
    </w:p>
    <w:p>
      <w:r>
        <w:t>in accessing the most innovative</w:t>
      </w:r>
    </w:p>
    <w:p>
      <w:r>
        <w:t>technologies, products, and services,</w:t>
      </w:r>
    </w:p>
    <w:p>
      <w:r>
        <w:t>which is not in the interest of the</w:t>
      </w:r>
    </w:p>
    <w:p>
      <w:r>
        <w:t>taxpayer, the warfighter, or the</w:t>
      </w:r>
    </w:p>
    <w:p>
      <w:r>
        <w:t>industrial base.</w:t>
      </w:r>
    </w:p>
    <w:p>
      <w:r>
        <w:t>Response: Section 803 of the NDAA</w:t>
      </w:r>
    </w:p>
    <w:p>
      <w:r>
        <w:t>for FY 2023 provides additional</w:t>
      </w:r>
    </w:p>
    <w:p>
      <w:r>
        <w:t>guidance regarding data requirements to</w:t>
      </w:r>
    </w:p>
    <w:p>
      <w:r>
        <w:t>support a determination of</w:t>
      </w:r>
    </w:p>
    <w:p>
      <w:r>
        <w:t>commerciality and a determination of</w:t>
      </w:r>
    </w:p>
    <w:p>
      <w:r>
        <w:t>price reasonableness for certain</w:t>
      </w:r>
    </w:p>
    <w:p/>
    <w:p>
      <w:r>
        <w:t>E:\FR\FM\30MYR1.SGM</w:t>
      </w:r>
    </w:p>
    <w:p/>
    <w:p>
      <w:r>
        <w:t>30MYR1</w:t>
      </w:r>
    </w:p>
    <w:p/>
    <w:p/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