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档案数字化流程负责人操作说明</w:t>
      </w:r>
    </w:p>
    <w:p>
      <w:pPr>
        <w:pStyle w:val="Heading1"/>
      </w:pPr>
      <w:r>
        <w:t>优先决定</w:t>
      </w:r>
    </w:p>
    <w:p>
      <w:r>
        <w:t>截至2024-06-10 17:00纽约，仅A01可建议进入机构内部源件处置批准；这不是已经批准或销毁，数字化结果仍是永久记录。其余七批需各自补证或分流，不能用供应商一个合格状态放行。真实NARA规则与原创演练记录分开，本说明没有真实授权、实测或执行效力。</w:t>
      </w:r>
    </w:p>
    <w:p>
      <w:pPr>
        <w:pStyle w:val="Heading1"/>
      </w:pPr>
      <w:r>
        <w:t>逐批处理</w:t>
      </w:r>
    </w:p>
    <w:p>
      <w:r>
        <w:t>A02另派独立于QC的验证员；A03同时保留诉讼hold和未完成验证两个阻塞，6月12日仅计划；A04补扫现有两页、补关联元数据、复查验证并核对处置依据，不以missing登记掩盖未扫。A05摄影印相含黑白用彩色模式，至少400ppi并满足全部适用参数；不能改文件头冒充重扫。A06缩微胶片属于透射介质，保留并向NARA专项指导渠道升级。A07保留12个原生音频、补其与150页案卷关系并完成混合介质验证。A08走临时记录单独待核分支，缺历史规则、具体保留表及法务/验证资料，不下销毁资格结论。</w:t>
      </w:r>
    </w:p>
    <w:p>
      <w:pPr>
        <w:pStyle w:val="Heading1"/>
      </w:pPr>
      <w:r>
        <w:t>进入与退出控制</w:t>
      </w:r>
    </w:p>
    <w:p>
      <w:r>
        <w:t>范围和介质/版本明确→实际扫描和QC整改→独立验证→法律限制及处置依据复核→机构授权批准→受控执行留证。QC、验证、法务、档案负责人和机构批准者分别负责自己的环节；任何未闭环项均阻止源件处置。内部批准来自演练流程契约，不冒充NARA法规原文。永久数字记录按适用依据保留移交；DOC-A01继续保留项目文档，上传ERA不足；DOC-X仅可进入文档适用处置表核对，不自动删除或证明A01已移交。</w:t>
      </w:r>
    </w:p>
    <w:p>
      <w:pPr>
        <w:pStyle w:val="Heading1"/>
      </w:pPr>
      <w:r>
        <w:t>版本和复核日历</w:t>
      </w:r>
    </w:p>
    <w:p>
      <w:r>
        <w:t>PERM2023在2023-06-05生效。TEMP2024的2024-05-30是发布，7月1日是不利意见截止，8月28日为无不利意见时的附条件生效；有不利意见将及时撤回，因此截点不得按新规上线，未来也须查实际状态。永久规则不强制OCR，SHA-256不是唯一完整性监控办法。S01当前恰十年，S02差一天；首轮2028-06-05届满时S01/S02/S03均满十年，S04仅八年。十年触发复核，不是自动失效；可更频繁复核。</w:t>
      </w:r>
    </w:p>
    <w:p>
      <w:pPr>
        <w:pStyle w:val="Heading1"/>
      </w:pPr>
      <w:r>
        <w:t>交接与局限</w:t>
      </w:r>
    </w:p>
    <w:p>
      <w:r>
        <w:t>2024-06-11 10:00纽约仅拟交接，负责人需逐批认领Excel行动与证据。不得补造GRS条目、真实NARA审批、联系或销毁日志。依据见PERM PDF1、7-8、10-11、14-15、17的§1225.22及§1236.40-.56；TEMP PDF1-3的日期及§1236.36。只作所附历史文本和给定状态的流程审阅；实际原件2026捕获，没有独立专业审核或现场影像验证。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