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2024联邦资助规则迁移：决策备忘录</w:t>
      </w:r>
    </w:p>
    <w:p>
      <w:r>
        <w:t>分析时点：2024-10-02 | 供制度负责人及财务/资助管理职能使用</w:t>
      </w:r>
    </w:p>
    <w:p>
      <w:pPr>
        <w:pStyle w:val="Heading1"/>
      </w:pPr>
      <w:r>
        <w:t>结论：有条件发布，按奖项保留版本</w:t>
      </w:r>
    </w:p>
    <w:p>
      <w:r>
        <w:t>截至2024-10-02，应把2024-10-01勘误纳入4月最终规则后再制作内部制度。可先修正错误的报告责任、BABA定义范围、未休假成本路径和标题引用；不得据此宣布所有历史奖项、间接费率与资本化政策同时自动切换。</w:t>
      </w:r>
    </w:p>
    <w:p>
      <w:r>
        <w:t>先核实机构实施文件和award条款，再做系统配置、试算复核与制度发布。具体奖项、机构政策及审批记录未在材料中提供，以下功能角色是建议分工，并非现成的组织授权。[C01、C02、C04、C05；S24 p.30046及相关条款]</w:t>
      </w:r>
    </w:p>
    <w:p>
      <w:pPr>
        <w:pStyle w:val="Heading1"/>
      </w:pPr>
      <w:r>
        <w:t>时间线与权威性</w:t>
      </w:r>
    </w:p>
    <w:p>
      <w:r>
        <w:t>S20为2020年的最终修订，一般2020-11-12生效，§§200.216/200.340另从2020-08-13生效；它不是截至2024年的完整合并法规。S23是2023-10-05提案，2023-12-04只是评论截止日期，不能拿来当已生效规则。S24于2024-04-22公布，2024-10-01一般生效；联邦机构可选择用于此前奖项，提前实施不得早于2024-06-21。SC于2024-10-01生效，须逐项修正最终文本。[S20 p.49506；S23 p.69390；S24 p.30046；SC p.79731]</w:t>
      </w:r>
    </w:p>
    <w:p>
      <w:r>
        <w:t>旧奖项不是仅凭支出发生在10月后就自动使用新口径。应保存award签发、机构实施选择和有效条款证据；缺少该证据时维持条件性判断并向资助管理职能升级，不自行追溯修改。[C01]</w:t>
      </w:r>
    </w:p>
    <w:p>
      <w:pPr>
        <w:pStyle w:val="Heading1"/>
      </w:pPr>
      <w:r>
        <w:t>资金与批准控制：先确认再配置</w:t>
      </w:r>
    </w:p>
    <w:p>
      <w:r>
        <w:t>C02：10%改为最高15% MTDC不是一刀切涨到15%。无现行联邦谈判费率（含provisional）才有相应选择资格；保留选择记录，不重复直接/间接计费。[S20 §200.414(f)；S24 p.30174 §200.414(f)]</w:t>
      </w:r>
    </w:p>
    <w:p>
      <w:r>
        <w:t>C03：MTDC从每项subaward最初25,000提高为50,000，不能按发票或年度重置。设备、资本开支、patient care、租金、学费减免、奖学金、participant support和超额subaward部分等须排除。先取得subaward累计台账和适用版本再配置基数。[S20 §200.1；S24 p.30142 §200.1]</w:t>
      </w:r>
    </w:p>
    <w:p>
      <w:r>
        <w:t>C04：设备定义仍要求寿命超过一年，金额采用机构财报资本化水平与10,000美元的较低值，而非统一10,000。机构旧政策未提供，不能直接提高其资本化门槛。[S24 p.30139 §200.1]</w:t>
      </w:r>
    </w:p>
    <w:p>
      <w:r>
        <w:t>C05：固定金额subaward最高500,000美元，仍需联邦机构事先书面批准并满足§200.201。内部项目签字不能代替该批准；低于金额上限并不等于自动放行。[S24 p.30167 §200.333]</w:t>
      </w:r>
    </w:p>
    <w:p>
      <w:pPr>
        <w:pStyle w:val="Heading1"/>
      </w:pPr>
      <w:r>
        <w:t>10月勘误必须整体传递到下游</w:t>
      </w:r>
    </w:p>
    <w:p>
      <w:r>
        <w:t>C08：FSRS义务主体应改为recipient；用正式修正指令I(a)(2)(i)定位，不沿用4月错误的entity or Federal agency，也不因说明段落号差异而改错条款。[SC pp.79731-79732, instruction2]</w:t>
      </w:r>
    </w:p>
    <w:p>
      <w:r>
        <w:t>C09/C10：Part184不自动引入Part200.1的equipment、expenditures、supplies定义；不得把提高的成本门槛当作BABA豁免。为Part184目的，Federal financial assistance包含loans和loan guarantees；不由此推导Part200所有条款普遍适用于所有贷款。采购/基础设施职能应取得项目及资金工具资料后再作个案适用结论。[SC pp.79731-79732, §184.3及§200.1(5)]</w:t>
      </w:r>
    </w:p>
    <w:p>
      <w:r>
        <w:t>C11：现金制的退休/离职未休假支付在支付年度可允许，应（should）分配为全部活动的一般管理费用或计入fringe benefit rate，第二路径被勘误恢复。不能沿用被删除的普遍cognizant approval门槛，但仍需符合Subpart E，不是任意冲入单个award的授权。修订SOP、费用映射和复核清单，避免只有法律备忘录更新而财务规则留旧值。[SC pp.79732-79733 §200.431(b)(3)(i)]</w:t>
      </w:r>
    </w:p>
    <w:p>
      <w:r>
        <w:t>C12：Title2整体标题更名指令被撤回；该Title权限在Director of the Federal Register，OMB可管理Subtitle A。引用管理应保留具体FR Doc/CFR条款，不把标题变化当作实质义务已经全部改变。[SC pp.79731-79732]</w:t>
      </w:r>
    </w:p>
    <w:p>
      <w:pPr>
        <w:pStyle w:val="Heading1"/>
      </w:pPr>
      <w:r>
        <w:t>例外、保留与发布顺序</w:t>
      </w:r>
    </w:p>
    <w:p>
      <w:r>
        <w:t>C07：§200.102(a)(b)的类别例外排除Subpart F；(c)的个案例外受法律禁止及其他明示批准要求限制，不能把类别例外边界直接等同于个案例外。固定金额奖项的较宽松要求不能突破法律或Subpart F。成本分配计划/间接费提案例外只有cognizant agency for indirect costs可批准。不能发布一张内部负责人可无条件豁免的表。[S24 p.30146 §200.102]</w:t>
      </w:r>
    </w:p>
    <w:p>
      <w:r>
        <w:t>C06：一般保留期从最终财务报告提交起算三年，季度/年度续期、财产、期后收入和间接费资料有特别起算点。未结诉讼、索赔、审计或书面延长要求须设hold；不得按项目结束日统一销毁。[S24 pp.30167-30168 §200.334]</w:t>
      </w:r>
    </w:p>
    <w:p>
      <w:r>
        <w:t>优先完成C01适用性、C07权限和C08-C11勘误，防止资金错误或责任错置；财务在此基础上调整C02-C05配置并独立复核。C06的保留hold立即执行，不因其系统完善工作排在P1而等待；C12引用清理随后完成。行动表逐项列明职责、放行证据和暂缓/升级路径。没有材料证明任何对外联系、申报或批准已完成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