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开源发布审查：先补证据，再决定外部发布范围</w:t>
      </w:r>
    </w:p>
    <w:p>
      <w:pPr>
        <w:pStyle w:val="Heading1"/>
      </w:pPr>
      <w:r>
        <w:t>结论与范围</w:t>
      </w:r>
    </w:p>
    <w:p>
      <w:r>
        <w:t>截至2026-10-20 18:00 +08:00，不建议无条件放行2026-10-23外部发布候选。C01/C02、C04、C06需整改，C08暂停该组件；M01/M02市场合同表述和M03覆盖程序的EULA限制须修订。C03、C05、C07可在给定范围继续，不把一个组件缺证扩大为全公司停用。全部是原创案例的分析师意见，没有法务或发布委员会批准。</w:t>
      </w:r>
    </w:p>
    <w:p>
      <w:pPr>
        <w:pStyle w:val="Heading1"/>
      </w:pPr>
      <w:r>
        <w:t>具体版本及Apache交付</w:t>
      </w:r>
    </w:p>
    <w:p>
      <w:r>
        <w:t>C01 CloudParse 1.4二进制外部交付须补Apache §4(a)许可副本和§4(d)适用NOTICE归属信息；可采用条款允许的NOTICE、随附文档或通常显示第三方通知的位置，不要求强制源码或唯一文件名。NOTICE不修改许可证。C02 1.5-fork按当前制品Apache-2.0审查；未来2.0拟MIT的README提议无当前授权效力。按§4(b)显著标识修改文件，按§4(c)保留派生源码中适用通知；只给自己修改另设条款不能免除上游条件。</w:t>
      </w:r>
    </w:p>
    <w:p>
      <w:pPr>
        <w:pStyle w:val="Heading1"/>
      </w:pPr>
      <w:r>
        <w:t>GPL的范围与对应源码</w:t>
      </w:r>
    </w:p>
    <w:p>
      <w:r>
        <w:t>C03 PrintKit 0.8只在同一法律实体内部运行且无外部副本，按GPL §2不因该事实要求向公众公开源码；范围变化再审。C05 2.1-service仅网络交互、无副本转移且不含AGPL，GPL §0不把这种交互视为convey，不能直接套AGPL §13。均不作未来分发或所有法律义务的全面豁免。</w:t>
      </w:r>
    </w:p>
    <w:p>
      <w:r>
        <w:t>C04 2.0修改CLI的USB外部交付构成convey。按委托已选§6(a)实物随附路线，须同时提供该版本完整机器可读对应源码和§1所需构建/安装/运行/修改脚本，含缺失的build.sh/install.sh。打印节选和将来索取便条不能满足所选路线；不要求向全世界公开，也不要求交无关商业仓库。当前无User Product或组合范围争议，不虚构对应义务。客户EULA不得对GPL覆盖程序增加不得复制/修改/再分发的限制（§10）；法务应明确排除或修订。</w:t>
      </w:r>
    </w:p>
    <w:p>
      <w:pPr>
        <w:pStyle w:val="Heading1"/>
        <w:pageBreakBefore/>
      </w:pPr>
      <w:r>
        <w:t>AGPL修改版与未修改备选</w:t>
      </w:r>
    </w:p>
    <w:p>
      <w:r>
        <w:t>C06 AuditView 3.0-mod已修改且支持远程交互，AGPL §13要求向所有远程交互用户显著提供经网络免费取得该修改版本对应源码的机会；只向付费管理员收费展示2.8原版源码不符合。对应源码按§1包括所需脚本，不是全公司无关代码。设计匿名、免费、付费和管理员的发现入口及免费复制测试，记录为待执行，不宣称已访问或通过。</w:t>
      </w:r>
    </w:p>
    <w:p>
      <w:r>
        <w:t>C07 3.1-stock是独立且完整未修改、未合并GPL作品、无外部副本的备选。§13的该额外义务以修改为条件，在这些给定事实内不触发；需保留未修改和部署范围证据，变化再审。它不证明C06已整改，更不意味着AGPL网络使用永远没有义务。</w:t>
      </w:r>
    </w:p>
    <w:p>
      <w:pPr>
        <w:pStyle w:val="Heading1"/>
      </w:pPr>
      <w:r>
        <w:t>缺失证据与市场合同</w:t>
      </w:r>
    </w:p>
    <w:p>
      <w:r>
        <w:t>C08 IconClip 0.9只有README MIT徽章，具体制品缺LICENSE且授权范围不明；暂停该资产随包，索取对应权利人/版本/资产授权，或经批准移除并核对交付目录。不得补一份通用MIT文本就宣称0.9已获授权。M01按Apache §6删除无独立授权的官方背书/标志，或另取授权；§6有限的来源描述与NOTICE用途不能扩成背书许可。M02按§9由自己名义承担额外质保，不能代表ASF或贡献者承诺；若继续提供额外质保，应落实该条对其他贡献者的赔偿、抗辩及免责条件，交法务修订。</w:t>
      </w:r>
    </w:p>
    <w:p>
      <w:pPr>
        <w:pStyle w:val="Heading1"/>
      </w:pPr>
      <w:r>
        <w:t>执行次序与未完成状态</w:t>
      </w:r>
    </w:p>
    <w:p>
      <w:r>
        <w:t>维护人/发布工程先补C01/C02通知；构建工程补C04对应源码并与法务修订EULA；服务工程整改C06入口与版本；采购/法务核C08授权或移除；市场/法务改M01/M02。提交版本和实际证据后，法务复核，再由发布委员会按剩余范围决定，分析师不能代签。2026-10-22是C06拟修复日，2026-10-23 12:00 +08:00是拟发布窗口，都不是完成证明。各项验收见Excel，不发通知、不访问源码服务、不上线；所有测试仍待执行。</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64"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255B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55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255B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