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设计服务合同修改的费用上限与付款条款审阅</w:t>
      </w:r>
    </w:p>
    <w:p>
      <w:pPr>
        <w:pStyle w:val="Heading1"/>
      </w:pPr>
      <w:r>
        <w:t>业务与边界</w:t>
      </w:r>
    </w:p>
    <w:p>
      <w:r>
        <w:t>你是虚构设计服务商的外聘合同律师，向商务负责人提供签约前修订包。截点2024-09-06 10:00 America/New_York。依据附带三页2024-13863规则、项目台账与拟定合同，判断九项目费用测试和付款动作，并将合同六条草案改成可用条文。真实规则与原创演练事实分开，不联网查现行法，不处理生效前追溯争议或本包未附FAR授权。</w:t>
      </w:r>
    </w:p>
    <w:p>
      <w:r>
        <w:t>所有金额USD。设计价已含成本、间接费和利润，其他服务分类为给定演练事实，不能为了过上限自行移项。新工作和重设计分母不同，按全部有关设计价测试，不只算新增或利润。其他机构的行可以算描述性比率，但本规则不能给它们10%法律批准。</w:t>
      </w:r>
    </w:p>
    <w:p>
      <w:pPr>
        <w:pStyle w:val="Heading1"/>
      </w:pPr>
      <w:r>
        <w:t>待完成的实务工作</w:t>
      </w:r>
    </w:p>
    <w:p>
      <w:r>
        <w:t>逐项记录采用的机构、范围、估算与报价版本、设计/其他分项、正确分母、设计合计、上限、比率和超限额。P08用截点前实际收到的最新报价，预算草案非批准估算，截点后报价不能回填。P07缺分项应给明确条件而非把170000全当设计或自行拆分。P09等号不能误判。</w:t>
      </w:r>
    </w:p>
    <w:p>
      <w:r>
        <w:t>说明费用测试、合同既定价格、双方书面修改、验收和开票五者关系。P06原合同6%/120000设计价属于既定事实，法定上限变化本身不增加应收。内部角色只可按合同约定行动，法务审阅不代签、不代验收，不虚构回签或支付。按风险排序给项目行动、责任人与关闭材料，不让资料缺口阻止其余项目继续谈判。</w:t>
      </w:r>
    </w:p>
    <w:p>
      <w:r>
        <w:t>逐条审核草案S1-S6，提供能直接替换的六条中文合同条文，包含对象、义务主体、触发条件和操作结果；不能只写遵守法律。保留价款待双方协商，不擅自接受报价或发明项目里程碑。指出保留的正确含义及必要改动。</w:t>
      </w:r>
    </w:p>
    <w:p>
      <w:pPr>
        <w:pStyle w:val="Heading1"/>
      </w:pPr>
      <w:r>
        <w:t>交付</w:t>
      </w:r>
    </w:p>
    <w:p>
      <w:r>
        <w:t>仅在/app/output交LAW-FG-009_费用与处置.xlsx及LAW-FG-009_合同替换条文.docx。Excel可筛选，覆盖九项目取数/公式/依据/处置、六草案逐项意见；金额两位小数，比率百分数，计算可复核。引用规则PDF实际页与236.606-70段，不把经济影响估计当费率。Word中文A4最多3页，开头短列关键限制，随后六条完整替换条文，与Excel数值/范围/付款状态一致；允许等价表名、顺序、算法和措辞。</w:t>
      </w:r>
    </w:p>
    <w:p>
      <w:r>
        <w:t>不改输入，不交URL/压缩包/加密文件代成果；不作实际签署、通知、开票、付款，不造估算批准、分项回复、验收或回签凭证。未能确定之处写条件和所需材料，不猜外部法规。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