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设计服务合同：六条替换文本（供协商）</w:t>
      </w:r>
    </w:p>
    <w:p>
      <w:pPr>
        <w:pStyle w:val="Heading1"/>
      </w:pPr>
      <w:r>
        <w:t>审阅封面</w:t>
      </w:r>
    </w:p>
    <w:p>
      <w:r>
        <w:t>截至2024-09-06 10:00 America/New_York，以2024-13863（6月27日公布、8月26日生效）及演练合同条件审阅。以下是待双方协商签署的替换文本，不能视为已生效修改或付款授权。P02/P03/P08分别超20000/10000/10000 USD，先改价或取得有效材料重算；P01/P09可继续协商，P04/P05适用法待核，P07待分项。P06虽提议设计价200000恰在10%内，原签120000及其他30000不自动改变，80000不是既定应收。</w:t>
      </w:r>
    </w:p>
    <w:p>
      <w:pPr>
        <w:pStyle w:val="Heading1"/>
      </w:pPr>
      <w:r>
        <w:t>S1 适用范围及限额性质</w:t>
      </w:r>
    </w:p>
    <w:p>
      <w:r>
        <w:t>就客户为Army、Navy或Air Force且属于236.606-70所列设计、规划、图纸和规范准备服务的项目，双方按附件费用核对表进行本项10%上限测试。该比例仅为上限，不是约定费率或价格承诺。对DLA、NASA及其他范围外客户，法务应先取得其适用规则与合同条款另行核验，本条不确认其限额或授权付款。</w:t>
      </w:r>
    </w:p>
    <w:p>
      <w:pPr>
        <w:pStyle w:val="Heading1"/>
      </w:pPr>
      <w:r>
        <w:t>S2 价格分项与支持</w:t>
      </w:r>
    </w:p>
    <w:p>
      <w:r>
        <w:t>报价方应在签约或修改前分列设计服务完整价格（含相应成本、间接费用及利润）与其他服务价格，并提供可核分类及成本支持。商务负责人核对分项后，将设计部分纳入本项上限测试；其他服务不受本项10%限制，但仍按本合同定价、签署及付款条件审核。分项不明时应补证，不得自行估拆或将设计价格移项以通过测试。</w:t>
      </w:r>
    </w:p>
    <w:p>
      <w:pPr>
        <w:pStyle w:val="Heading1"/>
      </w:pPr>
      <w:r>
        <w:t>S3 新工作与重设计的修改测试</w:t>
      </w:r>
    </w:p>
    <w:p>
      <w:r>
        <w:t>新增原合同未含工作时，商务负责人应取得已批准的修订总施工估算，以其作为分母，并汇总有关原设计价与新增设计价。涉及重设计时，应将原施工估算与重设计特征施工估算相加为分母，将原设计合同价与重设计合同价相加为分子。有关设计价与分母之比不得超过10%，等于10%不算超限；不得仅检本次追加设计价。超限或基准未获批准时，先修价或补有效材料后重新测试。</w:t>
      </w:r>
    </w:p>
    <w:p>
      <w:pPr>
        <w:pStyle w:val="Heading1"/>
      </w:pPr>
      <w:r>
        <w:t>S4 定价与修改生效</w:t>
      </w:r>
    </w:p>
    <w:p>
      <w:r>
        <w:t>双方应以工作范围、成本支持和费用测试为基础协商具体价款，不因法定上限变化自动将原价补至10%。既有价款与范围在双方授权签字人书面同意修改前保持不变；项目经理和法务意见仅供协商，不产生签约授权。P06原设计120000 USD及其他30000 USD不因本次审阅改变，80000 USD补款请求需另行协商和签署，不构成已批准应收。</w:t>
      </w:r>
    </w:p>
    <w:p>
      <w:pPr>
        <w:pStyle w:val="Heading1"/>
      </w:pPr>
      <w:r>
        <w:t>S5 验收、开票与材料核对</w:t>
      </w:r>
    </w:p>
    <w:p>
      <w:r>
        <w:t>实施本次修改的双方授权签字人应先签署价款及范围文件；合同指定验收人应对相应交付作出验收记录，法务审阅和项目经理邮件不替代该验收。财务在开票前核对已签文件、相应验收及发票范围和金额，缺材料时记录缺口并向商务或验收责任人补取，不自行认定履约完成或支付到期。本条不增加输入未给定的里程碑金额、日期或比例。</w:t>
      </w:r>
    </w:p>
    <w:p>
      <w:pPr>
        <w:pStyle w:val="Heading1"/>
      </w:pPr>
      <w:r>
        <w:t>S6 资料时点、版本与复核</w:t>
      </w:r>
    </w:p>
    <w:p>
      <w:r>
        <w:t>服务运营应保存每份报价的取得时刻、版本和批准状态；本轮仅采用2024-09-06 10:00 America/New_York前已取得且适用的资料。P08采用09:40报价V2和已批准4000000 USD施工估算，未批准4200000 USD草案及10:10收到的V3不能回填本轮。后到报价或后续批准资料应另轮冻结截点、重算并提交协商。P07未分项总价170000 USD应由报价方补充设计/其他分项后测试，不能由财务自行拆分。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